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86</w:t>
      </w:r>
    </w:p>
    <w:p>
      <w:r>
        <w:t>Bundesgericht (BGE), 2001-11-13, FR</w:t>
      </w:r>
    </w:p>
    <w:p>
      <w:r>
        <w:rPr>
          <w:b/>
        </w:rPr>
        <w:t xml:space="preserve">Quelle: </w:t>
      </w:r>
      <w:r>
        <w:t>https://mcp.opencaselaw.ch/entscheid/bge_BGE_128_II_86</w:t>
      </w:r>
    </w:p>
    <w:p>
      <w:r>
        <w:t>FR: ATF 128 II 86</w:t>
      </w:r>
    </w:p>
    <w:p>
      <w:r>
        <w:t>IT: DTF 128 II 86</w:t>
      </w:r>
    </w:p>
    <w:p>
      <w:pPr>
        <w:pStyle w:val="Heading2"/>
      </w:pPr>
      <w:r>
        <w:t>Regeste</w:t>
      </w:r>
    </w:p>
    <w:p>
      <w:r>
        <w:t>Regeste Art. 16 Abs. 2 SVG; Verwarnung, Warnungsentzug des Führerausweises. Ein Überschreiten der zulässigen Höchstgeschwindigkeit innerorts um 16 km/h stellt objektiv einen leichten Fall im Sinne von Art. 16 Abs. 2 Satz 2 SVG dar (E. 2b). Ist eine Verkehrsregelverletzung zwar objektiv als leichter Fall einzustufen, erfolgt sie jedoch innert Jahresfrist seit Anordnung einer Verwarnung, ist eine neuerliche Verwarnung grundsätzlich ausgeschlossen und der Führerausweis in Anwendung von Art. 16 Abs. 2 Satz 1 SVG zu entziehen (E. 2c).</w:t>
      </w:r>
    </w:p>
    <w:p>
      <w:r>
        <w:t>Regeste Art. 16 al. 2 LCR; avertissement, retrait d'admonestation du permis de conduire. Un dépassement de 16 km/h de la vitesse maximale autorisée à l'intérieur d'une localité constitue objectivement un cas de peu de gravité au sens de l'art. 16 al. 2 2ème phrase LCR (consid. 2b). Lorsqu'une infraction aux règles de la circulation peut objectivement être qualifiée de peu de gravité mais intervient dans le délai d'un an suivant le prononcé d'un avertissement, un nouvel avertissement est en principe exclu et le retrait du permis de conduire doit être ordonné en application de l'art. 16 al. 2 1ère phrase LCR (consid. 2c).</w:t>
      </w:r>
    </w:p>
    <w:p>
      <w:r>
        <w:t>Regesto Art. 16 cpv. 2 LCStr; ammonimento, revoca a scopo di ammonimento della licenza di condurre. Il superamento di 16 km/h della velocità massima consentita all'interno di una località costituisce, oggettivamente, un caso di gravità ai sensi dell'art. 16 cpv. 2 seconda proposizione LCStr (consid. 2b). Quando un'infrazione alle regole sulla circolazione può essere qualificata di poco grave, ma avviene entro il termine di un anno dalla pronuncia di un ammonimento, un nuovo ammonimento è di regola escluso, e la revoca della licenza di guida deve essere ordinata in applicazione dell'art. 16 cpv. 2 prima proposizione LCStr (consid. 2c).</w:t>
      </w:r>
    </w:p>
    <w:p>
      <w:pPr>
        <w:pStyle w:val="Heading2"/>
      </w:pPr>
      <w:r>
        <w:t>Erwägungen</w:t>
      </w:r>
    </w:p>
    <w:p>
      <w:r>
        <w:rPr>
          <w:b/>
        </w:rPr>
        <w:t>E. 2</w:t>
      </w:r>
    </w:p>
    <w:p>
      <w:r>
        <w:t>Le recourant se plaint d'un abus du pouvoir d'appréciation, soutenant que seul un avertissement est proportionné dans son cas. a) L' art. 16 al. 2 LCR (RS 741.01)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Par ailleurs, l' art. 16 al. 3 let. a LCR dispose que le permis de conduire doit être retiré "si le conducteur a compromis gravement la sécurité de la route". A partir du texte légal, quatre situations doivent être distinguées. D'abord, le cas où le conducteur n'a pas "compromis la sécurité de la route ou incommodé le public", pour lequel l'autorité n'ordonnera aucune mesure administrative. Deuxièmement, le cas de peu de gravité BGE 128 II 86 S. 88 ( art. 16 al. 2 2 ème phrase LCR), pour lequel l'autorité donnera un avertissement. En troisième lieu, le cas de gravité moyenne ( art. 16 al. 2 1 ère phrase LCR), pour lequel l'autorité doit retirer le permis de conduire; elle ne peut s'en abstenir qu'en présence de circonstances spéciales, telles que celles qui justifient d'abandonner toute peine en application de l' art. 66bis CP ( ATF 126 II 202 consid. 1a p. 203/204, 196 consid. 2c p. 200/201). Enfin, le cas grave, qui implique le retrait du permis de conduire en application de l' art. 16 al. 3 let. a LCR . b) Le recourant a dépassé de 16 km/h la vitesse maximale autorisée à l'intérieur d'une localité. Selon la jurisprudence, lorsque la vitesse maximale générale de 50 km/h autorisée dans les localités est dépassée de 21 à 24 km/h, le cas est objectivement, c'est-à-dire sans égard aux circonstances concrètes, de gravité moyenne, ce qui doit en principe entraîner le retrait du permis de conduire en application de l' art. 16 al. 2 1 ère phrase LCR ( ATF 126 II 202 consid. 1a p. 204, 196 consid. 2a p. 199; ATF 124 II 97 consid. 2b p. 101). Par ailleurs, l'ordonnance du 4 mars 1996 sur les amendes d'ordre (OAO; RS 741.031) prévoit à son annexe I ch. 303.1 que seul un dépassement jusqu'à 15 km/h de la vitesse maximale autorisée dans les localités peut être réprimé par une amende d'ordre. Un dépassement de la vitesse autorisée de 16 km/h à l'intérieur d'une localité se situe donc au-dessous de la limite de 21 km/h fixée pour le cas de gravité moyenne et au-dessus de la fourchette prévue pour les amendes d'ordre. Aussi, un tel dépassement constitue-t-il objectivement (sans égard aux circonstances concrètes) un cas de peu de gravité au sens de l' art. 16 al. 2 2 ème phrase LCR, impliquant un avertissement. c) Il y a encore lieu de rechercher si des circonstances concrètes (conditions du trafic défavorables, mauvaise réputation de l'automobiliste) ne justifient néanmoins pas de considérer le cas comme plus grave (cf. ATF 126 II 196 consid. 2a p. 199; ATF 124 II 475 consid. 2a p. 477, 262 consid. 2c p. 263; ATF 123 II 37 consid. 1e p. 41). Pour déterminer si le cas est effectivement de peu de gravité, autrement dit s'il est susceptible de n'entraîner qu'un avertissement, il faut tenir compte, ainsi que le précise l'art. 31 al. 2 de l'ordonnance du 27 octobre 1976 réglant l'admission des personnes et des véhicules à la circulation routière (OAC; RS 741.51), de la gravité de la faute commise et de la réputation du contrevenant en tant que conducteur; la gravité de la mise en danger du trafic n'est prise en BGE 128 II 86 S. 89 considération que dans la mesure où elle est significative pour la faute ( ATF 126 II 202 consid. 1a p. 204, 192 consid. 2b p. 194; ATF 125 II 561 consid. 2b p. 567). L'autorité cantonale n'a constaté aucune circonstance particulière relative au trafic, comme la présence d'usagers de la route vulnérables tels des piétons ou cyclistes (cf. ATF 123 II 37 consid. 1d et e p. 40/41), qui pourrait faire apparaître la faute du recourant comme plus lourde. La seule question à résoudre est donc de savoir si les antécédents du recourant en tant qu'automobiliste (sa réputation selon l' art. 31 al. 2 OAC ) sont compatibles avec le prononcé d'un avertissement. Le recourant a commis le dépassement de vitesse le 20 octobre 1999. Il s'était vu infliger le 18 janvier 1999 un avertissement pour une violation d'une autre nature des règles de la circulation routière. Même si le recourant possède le permis de conduire depuis longtemps et parcourt professionnellement de nombreux kilomètres chaque année, son passé d'automobiliste n'est donc pas irréprochable puisque peu de temps (environ neuf mois) avant le dépassement de vitesse incriminé, il avait fait l'objet d'un avertissement. L'avertissement représente une mise en garde prononcée à titre éducatif et forme pour le conducteur concerné un antécédent (cf. BUSSY/RUSCONI, Code suisse de la circulation routière, Commentaire, Lausanne 1996, n. 4.1 ad art. 16 LCR ). En ce sens, l'avertissement comporte la menace d'une sanction plus lourde en cas de nouvelle infraction aux règles de la circulation routière. Il contribue à la sécurité du trafic. Ce but n'exclut pas d'emblée le prononcé d'avertissements successifs lorsqu'on peut penser que cela détournera effectivement le conducteur de la commission d'autres infractions. Cependant, celui qui peu de temps après un avertissement commet une nouvelle infraction aux règles de la circulation ne saurait en principe bénéficier d'un deuxième avertissement. C'est quelque neuf mois après le prononcé d'un avertissement que le recourant a commis le dépassement de vitesse incriminé. Cette nouvelle infraction intervenue moins d'un an après montre que l'avertissement n'a pas rempli sa fonction. Lorsqu'un conducteur commet une infraction aux règles de la circulation dans le délai d'un an suivant le prononcé d'un avertissement, il faut en conclure qu'un autre avertissement est en principe exclu, même si la nouvelle infraction peut objectivement être qualifiée de peu de gravité au sens de l' art. 16 al. 2 2 ème phrase LCR. Le retrait du permis de conduire doit alors être ordonné en application de l' art. 16 al. 2 1 ère phrase LCR, sauf circonstances spéciales; les circonstances ainsi réservées BGE 128 II 86 S. 90 peuvent par exemple résulter de situations analogues à celles justifiant de renoncer à une peine en application de l' art. 66bis CP ou de situations proches de l'état de nécessité. Il résulte a contrario de ce qui précède que, lorsqu'il s'est écoulé plus d'un an depuis l'avertissement, un autre avertissement est possible pour une nouvelle infraction de peu de gravité. En l'espèce, le recourant a commis la nouvelle infraction moins d'un an après l'avertissement et aucune circonstance spéciale ne ressort de la décision attaquée. L'autorité cantonale n'a donc pas violé le droit fédéral en ordonnant le retrait du permis du recourant. La règle selon laquelle la répétition d'une infraction de peu de gravité dans le délai d'un an exclut en principe un autre avertissement concrétise la version en vigueur de l' art. 16 al. 2 LCR . Le projet de modification de la loi sur la circulation routière introduit le concept d'infraction légère et exclut en cas de commission d'une deuxième infraction de ce type dans un délai de deux ans le prononcé d'un nouvel avertissement (cf. art. 16a al. 2 et 3 du projet; FF 1999 p. 4131 et 4157; BO 2000 CE 213; BO 2001 CN 908/909). Avec ce délai plus long, le projet accroît la sévérité à l'égard des récidivistes. De manière générale d'ailleurs, le projet tend à un renforcement des sanctions dans l'optique d'améliorer la sécurité routière (cf. FF 1999 p. 4111). Mais il n'y a pas lieu d'appliquer ce délai plus long sous le droit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