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335</w:t>
      </w:r>
    </w:p>
    <w:p>
      <w:r>
        <w:t>Bundesgericht (BGE), 2002-01-01, DE</w:t>
      </w:r>
    </w:p>
    <w:p>
      <w:r>
        <w:rPr>
          <w:b/>
        </w:rPr>
        <w:t xml:space="preserve">Quelle: </w:t>
      </w:r>
      <w:r>
        <w:t>https://mcp.opencaselaw.ch/entscheid/bge_BGE_128_II_335</w:t>
      </w:r>
    </w:p>
    <w:p>
      <w:r>
        <w:t>FR: ATF 128 II 335</w:t>
      </w:r>
    </w:p>
    <w:p>
      <w:r>
        <w:t>IT: DTF 128 II 335</w:t>
      </w:r>
    </w:p>
    <w:p>
      <w:pPr>
        <w:pStyle w:val="Heading2"/>
      </w:pPr>
      <w:r>
        <w:t>Regeste</w:t>
      </w:r>
    </w:p>
    <w:p>
      <w:r>
        <w:t>Regeste Art. 14 Abs. 2 lit. c, Art. 16 Abs. 1 und Art. 17 Abs. 1bis SVG; Art. 30 Abs. 1 VZV; Sicherungsentzug des Führerausweises, Drogen- und Alkoholmissbrauch im Strassenverkehr, Abklärung der Fahreignung. Ein die momentane Fahrfähigkeit beeinträchtigender kombinierter Konsum von Alkohol und verschiedenen Betäubungsmitteln kann Anlass bieten, die Fahreignung des Betroffenen durch ein Fachgutachten abklären zu lassen (E. 4c).</w:t>
      </w:r>
    </w:p>
    <w:p>
      <w:r>
        <w:t>Regeste Art. 14 al. 2 let. c, art. 16 al. 1 et art. 17 al. 1bis LCR; art. 30 al. 1 OAC; retrait de sécurité du permis de conduire, abus de drogue et d'alcool dans la circulation routière, examen de l'aptitude à conduire. La consommation d'un mélange d'alcool et de diverses drogues, qui porte une atteinte momentanée à la capacité de conduire, peut justifier une expertise de l'aptitude à conduire de l'intéressé (consid. 4c).</w:t>
      </w:r>
    </w:p>
    <w:p>
      <w:r>
        <w:t>Regesto Art. 14 cpv. 2 lett. c, art. 16 cpv. 1 e art. 17 cpv. 1bis LCStr; art. 30 cpv. 1 OAC; revoca a scopo di sicurezza della licenza di condurre, abuso di stupefacenti e alcool nella circolazione stradale, esame dell'idoneità alla guida. Il consumo di una miscela di alcool e vari stupefacenti, che pregiudica momentaneamente la capacità di condurre, può giustificare l'allestimento di una perizia sull'idoneità alla guida dell'interessato (consid. 4c).</w:t>
      </w:r>
    </w:p>
    <w:p>
      <w:pPr>
        <w:pStyle w:val="Heading2"/>
      </w:pPr>
      <w:r>
        <w:t>Erwägungen</w:t>
      </w:r>
    </w:p>
    <w:p>
      <w:r>
        <w:rPr>
          <w:b/>
        </w:rPr>
        <w:t>E. 4</w:t>
      </w:r>
    </w:p>
    <w:p>
      <w:r>
        <w:t>a) Das Strassenverkehrs- und Schifffahrtsamt des Kantons Bern forderte den Beschwerdegegner am 7. Juni 2001 gestützt auf die Verzeigung wegen Führens eines Personenwagens unter Einfluss von Drogen sowie eventuell in angetrunkenem Zustand auf, innert zehn Tagen ein Arztzeugnis einzureichen, das sich zu seiner Fahreignung äussern sollte. Mit Schreiben vom 19. Juni 2001 bestätigte der Hausarzt, dass beim Beschwerdegegner keine Drogensucht vorliege; alle durchgeführten Urinproben - auch hinsichtlich Cannabis - hätten ein negatives Ergebnis gezeigt. Die Frage betreffend die Fahreignung des Beschwerdegegners liess er hingegen unbeantwortet. Nach Abschluss der strafrechtlichen Beurteilung verfügte die Administrativbehörde ohne weitere Abklärungen hinsichtlich der Fahreignung des Beschwerdegegners einen 15-monatigen Warnungsentzug. Diesen Entscheid schützte die Vorinstanz. b) Nach der Rechtsprechung erlaubt ein regelmässiger, aber kontrollierter und mässiger Haschischkonsum für sich allein noch nicht den Schluss auf eine fehlende Fahreignung ( BGE 127 II 122 E. 4b; BGE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 BGE 124 II 559 BGE 128 II 335 S. 338 E. 4e und 5a). Ein die momentane Fahrfähigkeit beeinträchtigender Cannabiskonsum kann hingegen Anlass bieten, die generelle Fahreignung des Betroffenen durch ein Fachgutachten näher abklären zu lassen ( BGE 127 II 122 E. 4b mit Hinweis). c) Im konkreten Fall war die momentane Fahrfähigkeit des Beschwerdeführers durch übermässigen Konsum von Alkohol in Kombination mit Betäubungsmitteln beeinträchtigt. Der Beschwerdegegner konsumierte nach eigenen Angaben am fraglichen Tag nach 9 dl Bier und 1 dl Champagner einen Joint, dies im Wissen darum, dass er nachher noch bzw. wieder ein Motorfahrzeug führen würde. Zudem war er bereits 22 Monate vorher wegen Fahrens in angetrunkenem Zustand angehalten worden, weshalb ihm der Führerausweis für die Dauer von zwei Monaten entzogen worden war. Auch wegen Verstosses gegen das Betäubungsmittelgesetz war er zuvor schon verzeigt worden. Zudem hatte er anlässlich der polizeilichen Ermittlungen im Zusammenhang mit seinen Verfehlungen vom 18. Februar 2001 eingestanden, seit ungefähr einem Jahr täglich Marihuana zu konsumieren, pro Monat ca. 30 Joints, d.h. rund 15 g Marihuana. Die chemisch-toxikologischen Untersuchungen des IRM stellten über die vom Beschwerdegegner angegebenen Drogen hinaus den Konsum weiterer Drogen (Amphetamin, MDMA) fest. Im Weiteren wurde im Gutachten der Verdacht auf eine starke Gewöhnung des Beschwerdegegners an die konsumierten Drogen geäussert und abschliessend dringend eine Überprüfung seiner Fahreignung durch die Administrativbehörde empfohlen. Dass die Administrativbehörde aufgrund der ihr im Juni 2001 bekannten Umstände - vom bzw. von den zwei Gutachten des IRM hat sie wohl erst nach Zustellung der Strafakten Mitte Juli 2001 erfahren - abklären liess, ob der Beschwerdegegner drogenabhängig sei, ist selbstredend nicht zu beanstanden. Wenn das Strassenverkehrs- und Schifffahrtsamt aber eine solche Abklärung für erforderlich hielt, hätte es, wie das beschwerdeführende Amt zu Recht geltend macht, sich nicht mit dieser ärztlichen Bestätigung begnügen dürfen. Der Hausarzt machte darin insbesondere keine Angaben darüber, seit wann der Beschwerdegegner von ihm betreut worden war (Frage 1 auf dem Formular). Zudem hätte dem Amt auffallen müssen, dass auf dem vorgedruckten Formular "Ärztliches Zeugnis betr. Fahreignung nach Drogenkonsum" auch die Frage nach der Fahreignung unbeantwortet blieb. Erst recht hätte das Strassenverkehrs- und Schifffahrtsamt nach Erhalt des IRM-Gutachtens vom 10. April 2001 betreffend die chemisch-toxikologischen Untersuchungen BGE 128 II 335 S. 339 Anlass genug gehabt, an der Fahreignung des Beschwerdegegners ernsthaft zu zweifeln und der dringenden Empfehlung des IRM zur Einholung eines entsprechenden Fachgutachtens nachzukommen. Unter den oben genannten Umständen erweisen sich die Abklärungen der Administrativbehörden als offensichtlich unvollständig. Nicht erst die Vorinstanz, sondern schon das Strassenverkehrs- und Schifffahrtsamt hätte ein verkehrsmedizinisches und -psychologisches Gutachten durch ein spezialisiertes Institut anordnen müssen - dies spätestens nach Erhalt des Gutachtens des IRM vom 10. April 2001 durch die Zustellung der Strafakten Mitte Juli 2001. Zu diesem Zeitpunkt hätte es auch unverzüglich prüfen müssen, ob die Voraussetzungen für die vorsorgliche Abnahme des Führerausweises gegeben gewesen wären. Indem sowohl das Strassenverkehrs- und Schifffahrtsamt als auch die Vorinstanz auf die Einholung eines Fachgutachtens verzichteten, haben sie ihre Ermittlungspflicht verletzt (vgl. BGE 127 II 122 E. 4b; BGE 120 Ib 305 E. 4d und 5a). Die Beschwerde erweist sich somit als begründet. d) Die Dauer des Warnungsentzugs von fünfzehn Monaten ist unbestritten. Sollte die Abklärung des Sachverständigen ergeben, dass beim Beschwerdegegner kein Eignungsmangel vorliegt und deshalb ein Sicherungsentzug nicht erforderlich ist, bleibt es beim angefochtenen Entscheid.</w:t>
      </w:r>
    </w:p>
    <w:p>
      <w:r>
        <w:rPr>
          <w:b/>
        </w:rPr>
        <w:t>E. 5</w:t>
      </w:r>
    </w:p>
    <w:p>
      <w:r>
        <w:t>Die Abklärungen der Vorinstanz sind unvollständig. Dies führt, wenn das Bundesgericht nicht selbst in der Sache entscheidet, zur Aufhebung und Rückweisung der Sache. (...)</w:t>
      </w:r>
    </w:p>
    <w:p>
      <w:r>
        <w:rPr>
          <w:b/>
        </w:rPr>
        <w:t>E. 6</w:t>
      </w:r>
    </w:p>
    <w:p>
      <w:r>
        <w:t>Im Hinblick auf die in solchen oder ähnlichen Fällen notwendige Koordinierung der Tätigkeit der Strafverfolgungsbehörden einerseits und der Führerausweisentzugsbehörden andererseits sollte der Kanton Bern dafür besorgt sein, dass zukünftig die vom IRM im Auftrag der Strafverfolgungsbehörden erstellten Gutachten unverzüglich an das Strassenverkehrs- und Schifffahrtsamt weitergeleitet werden. Darüber hinaus wird das Bundesamt für Strassen (ASTRA) eingeladen, den Erlass entsprechender Empfehlungen zuhanden aller Kantone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