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131</w:t>
      </w:r>
    </w:p>
    <w:p>
      <w:r>
        <w:t>Bundesgericht (BGE), 2002-01-01, DE</w:t>
      </w:r>
    </w:p>
    <w:p>
      <w:r>
        <w:rPr>
          <w:b/>
        </w:rPr>
        <w:t xml:space="preserve">Quelle: </w:t>
      </w:r>
      <w:r>
        <w:t>https://mcp.opencaselaw.ch/entscheid/bge_BGE_128_II_131</w:t>
      </w:r>
    </w:p>
    <w:p>
      <w:r>
        <w:t>FR: ATF 128 II 131</w:t>
      </w:r>
    </w:p>
    <w:p>
      <w:r>
        <w:t>IT: DTF 128 II 131</w:t>
      </w:r>
    </w:p>
    <w:p>
      <w:pPr>
        <w:pStyle w:val="Heading2"/>
      </w:pPr>
      <w:r>
        <w:t>Regeste</w:t>
      </w:r>
    </w:p>
    <w:p>
      <w:r>
        <w:t>Regeste Art. 16 Abs. 2 SVG; Geschwindigkeitsüberschreitungen auf Autobahnausfahrten, Entzug des Führerausweises. Für Geschwindigkeitsüberschreitungen auf Autobahnausfahrten gelten in der Regel die von der Rechtsprechung für Ausserortsstrecken entwickelten Grundsätze (BGE 124 II 259). Bei einer Überschreitung der zulässigen Höchstgeschwindigkeit um 26 bis 29 km/h liegt ungeachtet der konkreten Umstände ein mittelschwerer Fall vor, der grundsätzlich einen Führerausweisentzug nach Art. 16 Abs. 2 SVG nach sich zieht (E. 2).</w:t>
      </w:r>
    </w:p>
    <w:p>
      <w:r>
        <w:t>Regeste Art. 16 al. 2 LCR; excès de vitesse sur les sorties d'autoroute, retrait du permis de conduire. Les principes jurisprudentiels dégagés pour les tronçons hors des localités sont en règle générale applicables aux excès de vitesse commis sur les sorties d'autoroute (ATF 124 II 259). Un dépassement de la vitesse maximale autorisée de 26 à 29 km/h constitue, sans égard aux circonstances concrètes, un cas de gravité moyenne, qui entraîne en principe un retrait du permis de conduire selon l'art. 16 al. 2 LCR (consid. 2).</w:t>
      </w:r>
    </w:p>
    <w:p>
      <w:r>
        <w:t>Regesto Art. 16 cpv. 2 LCStr; eccesso di velocità sulle uscite autostradali, revoca della licenza di condurre. I principi giurisprudenziali sviluppati per i tratti stradali all'esterno delle località sono di regola applicabili agli eccessi di velocità commessi sulle uscite autostradali (DTF 124 II 259). Il superamento della velocità massima consentita di 26 a 29 km/h costituisce, indipendentemente dalle circostanze concrete, un caso di media gravità che comporta in linea di principio la revoca della licenza di condurre in virtù dell'art. 16 cpv. 2 LCStr (consid. 2).</w:t>
      </w:r>
    </w:p>
    <w:p>
      <w:pPr>
        <w:pStyle w:val="Heading2"/>
      </w:pPr>
      <w:r>
        <w:t>Erwägungen</w:t>
      </w:r>
    </w:p>
    <w:p>
      <w:r>
        <w:rPr>
          <w:b/>
        </w:rPr>
        <w:t>E. 2</w:t>
      </w:r>
    </w:p>
    <w:p>
      <w:r>
        <w:t>a) Bei Geschwindigkeitsüberschreitungen von 31 bis 34 km/h auf Autobahnen ist der Führerausweis, und zwar selbst bei günstigen Umständen (günstige Verkehrsverhältnisse und guter automobilistischer Leumund), gestützt auf Art. 16 Abs. 2 Satz 1 SVG zu entziehen ( BGE 123 II 106 E. 2c S. 113). Ein mittelschwerer Fall mit der Rechtsfolge eines fakultativen Führerausweisentzugs liegt ebenso vor, wenn die zulässige Höchstgeschwindigkeit ausserorts von 80 km/h um 26 bis 29 km/h überschritten wird ( BGE 124 II 259 E. 2c). b) Wie das Bundesamt für Strassen (ASTRA) zutreffend ausführt, kann eine Geschwindigkeitsüberschreitung auf einer Autobahnausfahrt nicht mit einer Überschreitung auf der Autobahn selbst, der Stammlinie, gleichgesetzt werden. Die Stammlinie weist beispielsweise in aller Regel weitere Kurvenradien auf als eine Ausfahrtsstrecke mit einer verhältnismässig tiefen zulässigen Höchstgeschwindigkeit. Gerade die relativ engen Kurvenradien auf Autobahnausfahrten, die je nach Bepflanzung oder Verbauungen die Sicht nach vorne oft stark beeinträchtigen, erhöhen die Gefahr von Auffahrkollisionen bei Stau erheblich. Diese Gefahrenlage besteht - dank der relativ weiten Sicht - kaum auf Autobahnen. Auch kommt auf einer Autobahn eine Herabsetzung der zulässigen Höchstgeschwindigkeit auf 60 km/h nur in seltenen Ausnahmefällen, zum Beispiel einer sehr schwierig zu befahrenden Baustelle, in Betracht. Zudem wird die gesetzliche Höchstgeschwindigkeit von BGE 128 II 131 S. 133 120 km/h auf Autobahnen auf der Autobahnausfahrt nicht unvermittelt auf 60 km/h herabgesetzt. Denn Art. 22 der Signalisationsverordnung vom 5. September 1979 (SSV; SR 741.21) schreibt in solchen Fällen eine stufenweise Senkung der Höchstgeschwindigkeit vor. Eine Autobahnausfahrt ist daher hinsichtlich des Gefahrenpotentials mit einer Ausserortsstrecke vergleichbar und nicht mit einer Autobahn. Das bedeutet, dass bezüglich Geschwindigkeitsüberschreitungen im Regelfall die von der Rechtsprechung für Ausserortsstrecken entwickelten Grundsätze anzuwenden sind. Danach liegt bei einer Überschreitung der zulässigen Höchstgeschwindigkeit um 26 bis 29 km/h ungeachtet der konkreten Umstände ein mittelschwerer Fall vor, der grundsätzlich einen Führerausweisentzug nach Art. 16 Abs. 2 SVG nach sich zieht ( BGE 124 II 259 ). Besondere Verhältnisse, die ein Abweichen von dieser Regel rechtfertigen könnten ( BGE 118 Ib 229 ff.), liegen nicht vor. Damit erweist sich die Beschwerde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