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w:t>
      </w:r>
    </w:p>
    <w:p>
      <w:r>
        <w:t>Bundesgericht (BGE), 2001-01-01, DE</w:t>
      </w:r>
    </w:p>
    <w:p>
      <w:r>
        <w:rPr>
          <w:b/>
        </w:rPr>
        <w:t xml:space="preserve">Quelle: </w:t>
      </w:r>
      <w:r>
        <w:t>https://mcp.opencaselaw.ch/entscheid/bge_BGE_128_II_1</w:t>
      </w:r>
    </w:p>
    <w:p>
      <w:r>
        <w:t>FR: ATF 128 II 1</w:t>
      </w:r>
    </w:p>
    <w:p>
      <w:r>
        <w:t>IT: DTF 128 II 1</w:t>
      </w:r>
    </w:p>
    <w:p>
      <w:pPr>
        <w:pStyle w:val="Heading2"/>
      </w:pPr>
      <w:r>
        <w:t>Regeste</w:t>
      </w:r>
    </w:p>
    <w:p>
      <w:r>
        <w:t>Regeste Art. 57 ff. und 78 BV, Art. 126 Abs. 4 MG, Art. 6 Abs. 3 MPV; Plangenehmigung einer militärischen Ausbildungsanlage; Konflikt von Interessen der Landesverteidigung und des Naturschutzes; Berücksichtigung bei der Sachplanung. Wichtige Ermessensentscheide sind von der Sachplanbehörde zu treffen. Kollidiert das Interesse der Landesverteidigung mit dem Interesse an der Erhaltung eines Wildtierkorridors von nationaler Bedeutung, so setzt die Plangenehmigung voraus, dass sich die Sachplanbehörde (hier: der Bundesrat) mit dem Interessenkonflikt im Sachplan ausdrücklich auseinandergesetzt und sich klar für den Vorrang des militärischen Interesses entschieden hat (E. 3d).</w:t>
      </w:r>
    </w:p>
    <w:p>
      <w:r>
        <w:t>Regeste Art. 57 ss et 78 Cst., art. 126 al. 4 LAAM, art. 6 al. 3 OAPCM; approbation des plans d'une installation de formation militaire; conflit d'intérêts entre la défense nationale et la protection de la nature; prise en considération dans la planification sectorielle. Les décisions appelant l'exercice d'un pouvoir d'appréciation important doivent être prises par l'autorité chargée d'établir le plan sectoriel. Lorsque l'intérêt de la défense nationale entre en conflit avec l'intérêt au maintien d'un couloir pour la faune sauvage d'importance nationale, l'approbation des plans suppose que l'autorité qui a établi le plan sectoriel (en l'occurrence: le Conseil fédéral) se soit expressément déterminée sur le conflit d'intérêts dans le plan sectoriel et qu'elle se soit prononcée de manière claire en faveur de la primauté de l'intérêt militaire (consid. 3d).</w:t>
      </w:r>
    </w:p>
    <w:p>
      <w:r>
        <w:t>Regesto Art. 57 segg. e 78 Cost., art. 126 cpv. 4 LM, art. 6 cpv. 3 OAPCM; approvazione dei piani di un impianto di formazione militare; conflitto d'interessi tra la difesa nazionale e la protezione della natura; presa in considerazione nell'ambito della pianificazione settoriale. Le decisioni importanti prese nell'esercizio del potere di apprezzamento devono essere adottate dall'autorità incaricata di allestire il piano settoriale. Quando l'interesse della difesa nazionale si scontri con l'interesse al mantenimento di un corridoio per la fauna selvatica d'importanza nazionale, l'approvazione dei piani presuppone che l'autorità che ha allestito il piano settoriale (in concreto: il Consiglio federale) si sia determinata espressamente sul conflitto d'interessi nel piano settoriale e che si sia pronunciata chiaramente per la preminenza dell'interesse militare (consid. 3d).</w:t>
      </w:r>
    </w:p>
    <w:p>
      <w:pPr>
        <w:pStyle w:val="Heading2"/>
      </w:pPr>
      <w:r>
        <w:t>Erwägungen</w:t>
      </w:r>
    </w:p>
    <w:p>
      <w:r>
        <w:rPr>
          <w:b/>
        </w:rPr>
        <w:t>E. 2</w:t>
      </w:r>
    </w:p>
    <w:p>
      <w:r>
        <w:t>Der Beschwerdeführer 2 richtet sich gegen den "Grobstandort". Er macht geltend, die Anlage dürfe am Standort Au überhaupt nicht gebaut werden. Demgegenüber wendet sich der Beschwerdeführer 1 lediglich gegen den "Feinstandort". Er ist der Auffassung, die Anlage dürfe zwar am Standort Au gebaut werden; sie müsse aber nach Norden verschoben werden, da beim Bau am genehmigten Standort den Wildtieren ein viel zu geringer Abstand von lediglich 50 m zugemutet werde. Zunächst ist zu prüfen, ob der Bau der Anlage in der Au zulässig ist. Nur wenn das zu bejahen ist, stellt sich die Frage nach dem Feinstandort. Zu behandeln ist somit zuerst die Beschwerde des Beschwerdeführers 2.</w:t>
      </w:r>
    </w:p>
    <w:p>
      <w:r>
        <w:rPr>
          <w:b/>
        </w:rPr>
        <w:t>E. 3</w:t>
      </w:r>
    </w:p>
    <w:p>
      <w:r>
        <w:t>Der Beschwerdeführer 2 macht geltend, der Sachplan sei unvollständig; die Anlage hätte deshalb nicht bewilligt werden dürfen. a) Die vorgesehene Anlage in der Au wirkt sich erheblich auf Raum und Umwelt aus. Die Plangenehmigung setzt deshalb einen Sachplan nach dem Bundesgesetz über die Raumplanung voraus (vgl. Art. 126 Abs. 4 des Bundesgesetzes vom 3. Februar 1995 über die Armee und die Militärverwaltung [MG; SR 510.10] ). Am 19. August 1998 hat der Bundesrat den hier massgeblichen Sachplan Waffen- und Schiessplätze verabschiedet. Darin ist der Neubau der Anlage am Standort Au im Objektblatt 19.13 festgesetzt. Der Wildtierkorridor wird kartografisch nicht erfasst. Ebenso wenig wird er in den Erläuterungen zum Sachplan erwähnt. BGE 128 II 1 S. 8 b) Der Wildtierkorridor stellt beim Standort Au das wesentliche Problem dar. Im überarbeiteten Spezialbericht Wildtierökologie vom Dezember 1998 wird ausgeführt, der Wildtierkorridor in der Au müsse unbedingt erhalten bleiben. Die internen Arbeitsgrundlagen für die Festlegung des Korridors im Richtplan des Kantons Aargau wiesen ihm grösste Priorität, d.h. überkantonale bzw. nationale Bedeutung zu. In der Schweiz bestehe noch keine Festlegung von national bedeutenden Wildtierkorridoren in einem Inventar. Entsprechende Vorarbeiten, welche als Grundlage dafür dienen könnten, lägen zurzeit im Entwurf vor. Die Schweiz werde von einigen grossräumigen Wildtierbarrieren durchschnitten, die vorwiegend durch Siedlungen und Verkehrsträger gebildet würden und als irreparabel zu beurteilen seien. Eine dieser Wildtierbarrieren verlaufe von Basel entlang dem Rhein und der Aare, dann durch das Limmattal über Zürich, die Linthebene und den Walensee bis Sargans. Sie trenne den Schwarzwald und die Nordostschweiz vom Jura, der Zentral- und der übrigen Schweiz sowie dem Alpenraum ab. Der insoweit einzige funktionsfähige Korridor sei heute der in der Au. Zur Sicherung der Ausbreitungsrouten und zur Vermeidung langfristig zu kleiner, isolierter Populationen seien die letzten wildtiertauglichen Verbindungen zwischen den Grossräumen unbedingt offen zu halten. Der Wildtierkorridor in der Au habe aufgrund seiner Lage besondere Bedeutung für sich neu oder wieder ausbreitende Tierarten. Da die Tiere zu unterschiedlichen Jahreszeiten wanderten, müsse der Korridor ganzjährig dauernd offen gehalten bzw. von grossen Störungen freigehalten werden. Im Bericht "Wildtierkorridore Schweiz" der Schweizerischen Gesellschaft für Wildtierbiologie und der Schweizerischen Vogelwarte Sempach vom November 1999 wird der Korridor in der Au als solcher von überregionaler Bedeutung beschrieben. Es handle sich um die einzige für alle Tierarten taugliche Verbindung Jura-Ostschweiz-Schwarzwald. Trotz Belastungen werde der Korridor optimal von den Tieren genutzt. Als mögliche Massnahmen werden unter anderem die Freihaltung und die Verminderung von Störungen genannt. Die Eidgenössische Natur- und Heimatschutzkommission (ENHK) vertritt in ihrem Gutachten vom 3. Juni 1999 die Auffassung, dem Wildtierkorridor in der Au müsse nationale Bedeutung zuerkannt werden. Der gleichen Ansicht ist das Bundesamt für Umwelt, Wald und Landschaft (BUWAL; Stellungnahme vom 27. Mai 1999). BGE 128 II 1 S. 9 Aufgrund dieser Fachberichte ist davon auszugehen, dass dem Wildtierkorridor in der Au nationale Bedeutung zukommt. c) aa) Die ENHK führt im genannten Gutachten aus, das ursprüngliche Projekt käme mitten in den Wildtierkorridor zu liegen und würde diesen damit so stark beeinträchtigen, dass er mit hoher Wahrscheinlichkeit nicht mehr durch Wildtiere benutzt werden könnte. Der Verlauf des ganzjährig benutzten Korridors sei so eng, dass auf ein Ausweichen der Tiere nicht gehofft werden dürfe. Auch beim überarbeiteten und geänderten Projekt sei der Korridor immer noch erheblich beeinträchtigt, wenn auch aufgrund des etwas flussabwärts verschobenen Lehrbeckens weniger zentral. Eine Verschiebung nach Norden sei an sich sinnvoll, weil das vergleichsweise flachere West- und Ostufer am südlichen Rand der Au liege, d.h. im einzigen Abschnitt, der als Ein- und Ausstieg für Wildtiere nutzbar sei. Aus diesem Grund erscheine auch die südlich des Lehrbeckens nun vorgesehene, mit Weichhölzern zu bestückende ökologische Ausgleichsfläche zweckmässig. Die Anlage liege aber immer noch so direkt beim Wildtierkorridor, dass das Vorhaben klar dessen Verlust bewirken werde. bb) Das BUWAL legt in seiner Stellungnahme vom 27. Mai 1999 dar, es müsse davon ausgegangen werden, dass eine zusätzliche Beeinträchtigung des Korridors, wie sie mit der Verwirklichung des vorliegenden Projektes (gemäss derzeitigem Planungsstand) verbunden wäre, zum Unterschreiten der minimal notwendigen Lebensraum-Qualität führen würde und somit die Funktionsfähigkeit des Korridors verloren ginge. Das BUWAL kommt zum Schluss, dass das Vorhaben wegen der Beeinträchtigung des Wildtierkorridors auch gemäss überarbeitetem Projekt nicht umweltverträglich sei. Mit Schreiben vom 2. September 1999 an die Vorinstanz bemerkt das BUWAL, die Erhaltung des Wildtierkorridors könne mit dem heutigen Projekt trotz weitreichender Massnahmen innerhalb des Projektperimeters nicht sichergestellt werden. cc) Nach der überarbeiteten UVB-Hauptuntersuchung und dem ebenfalls überarbeiteten Spezialbericht Wildtierökologie vom Dezember 1998 können die Auswirkungen des geänderten Projektes auf den Wildtierkorridor nur beschränkt vorausgesagt werden, da der aktuelle Forschungsstand noch wesentliche Wissenslücken offen lasse. Zu unterscheiden seien verschiedene Schutzmassnahmen zugunsten des Wildtierkorridors inner- und ausserhalb des Projektperimeters. Für den Fall der Umsetzung aller Schutzmassnahmen inner- und ausserhalb des Projektperimeters wird gesagt, dank optimierter BGE 128 II 1 S. 10 Situierung und Gestaltung der Anlage und ihrer Nahumgebung, leichter Verschiebung des Wildtierkorridors nach Süden und wesentlichen Biotopaufwertungsmassnahmen gemäss Gesamtaufwertungskonzept werde die Wahrscheinlichkeit, dass der Ersatz bzw. Ausgleich ausreiche und der Korridor für die meisten Arten funktioniere, als recht gross beurteilt. Ob dieser Austausch von Tierindividuen ausreichend und genügend regelmässig stattfinden werde, um die ökologische Funktion des Wildtierkorridors langfristig zu erhalten, könne aufgrund der heute vorhandenen Wissensbasis jedoch nicht mit Sicherheit vorausgesagt werden. Für den Fall der Umsetzung der Schutzmassnahmen lediglich innerhalb des Projektperimeters wird die Wahrscheinlichkeit, dass der Korridor vollumfänglich funktioniert, in jedem Fall als eher gering beurteilt. Der Korridor werde vermutlich so stark beeinträchtigt, dass er seine Funktion mindestens für einen Teil der Tierarten bzw. der Individuen verliere. Die Gesuchsteller konnten der Vorinstanz die Umsetzung aller Schutzmassnahmen inner- und ausserhalb des Projektperimeters nicht zusichern. Selbst wenn das der Fall gewesen wäre, könnte damit aufgrund der überarbeiteten UVB-Hauptuntersuchung und des überarbeiteten Spezialberichts Wildtierökologie die uneingeschränkte Funktionsfähigkeit des Korridors für sämtliche Tierarten - soweit man das heute beurteilen kann - langfristig nicht als gesichert gelten. dd) Aufgrund der angeführten Stellungnahmen ist davon auszugehen, dass der Bau der Anlage am Standort Au - auch wenn man die Auswirkungen nicht in allen Einzelheiten voraussagen kann - jedenfalls zu einer erheblichen Beeinträchtigung des Wildtierkorridors führen wird. d) Es stehen sich beim Standort Au somit zwei nationale Interessen gegenüber, nämlich einerseits das der Landesverteidigung und anderseits das an der Erhaltung des Wildtierkorridors. Diese Interessen schliessen sich gegenseitig aus, d.h. sie können nicht miteinander versöhnt werden. Je nachdem, ob man die Sache eher aus dem Blickwinkel der Landesverteidigung oder eher aus dem des Naturschutzes betrachtet, ist man geneigt, dem einen oder anderen Interesse den Vorrang zu geben. Dies kommt auch in den insoweit voneinander abweichenden Stellungnahmen der betroffenen Fachbehörden zum Ausdruck. Für die eine wie für die andere Betrachtungsweise gibt es Gründe. Sowohl das Interesse der Landesverteidigung ( Art. 57 ff. BV ) als auch das Interesse des Naturschutzes BGE 128 II 1 S. 11 ( Art. 78 BV ) haben Verfassungsrang. Dass das eine dieser Interessen allgemein höher zu bewerten sei als das andere, lässt sich der Verfassung nicht entnehmen. Die beiden Interessen sind deshalb als grundsätzlich gleichwertig zu betrachten. Wie dargelegt, bedarf die Anlage in der Au gemäss Art. 126 Abs. 4 MG der Grundlage in einem Sachplan. Nach Art. 6 Abs. 3 der Verordnung vom 13. Dezember 1999 über das Plangenehmigungsverfahren für militärische Bauten und Anlagen (MPV; SR 510.51) setzt die Plangenehmigung eines sachplanrelevanten Vorhabens dessen Festsetzung im Sachplan Militär voraus. Wie das Bundesamt für Raumentwicklung (ARE) in der Vernehmlassung zutreffend darlegt, hat damit der Verordnungsgeber zum Ausdruck gebracht, dass wichtige Ermessensentscheide von der Sachplanbehörde zu treffen sind. Bei der Frage, welchem von zwei sich widerstreitenden gleichwertigen nationalen Interessen der Vorrang zu geben ist, handelt es sich um einen bedeutenden Ermessensentscheid, den klarerweise die Sachplanbehörde zu treffen hat. Diese hat in den Erläuterungen zum Sachplan im Einzelnen darzulegen, weshalb sie sich zu Gunsten des einen oder anderen Interesses entschieden hat (in diesem Sinne auch LUKAS BÜHLMANN, Kommentar zum Bundesgesetz über die Raumplanung, Zürich 1999, Art. 13 N. 4 und 30). Dass der Entscheid der Sachplanbehörde obliegt, ist sachlich begründet. Die Sachplanbehörde - hier der Bundesrat - verfügt über die erforderliche Distanz und ist befähigt, auf übergeordneter Stufe in einer Gesamtschau die Interessen abzuwägen; die Gefahr der Verengung des Blickwinkels besteht nicht. Fachbehörden neigen demgegenüber dazu, ihre fachspezifischen Interessen in den Vordergrund zu stellen. Dem Sachplan Waffen- und Schiessplätze vom 19. August 1998 ist zum Wildtierkorridor in der Au, wie gesagt, nichts zu entnehmen. Zwar ergibt sich aus den Akten, dass dem Bundesrat der Korridor vor Verabschiedung des Sachplanes bekannt war. So hat er am 14. Januar 1998 den Richtplan des Kantons Aargau, in dem der Korridor vermerkt ist, genehmigt; überdies hat die Vorinstanz den Bundesrat in einem Schreiben vom 1. Juli 1998 auf den Korridor aufmerksam gemacht. Gestützt darauf lässt sich jedoch nicht sagen, der Bundesrat habe bei der Festsetzung des Sachplanes den erwähnten Interessenkonflikt in der wirklichen Tragweite gekannt und sich klar für den Vorrang der militärischen Interessen entschieden. Dafür fehlen jegliche Hinweise im Objektblatt. Der Entscheid über den gegebenen Interessenkonflikt muss mit der nötigen Klarheit aus der BGE 128 II 1 S. 12 Sachplanfestsetzung selbst hervorgehen. Das trifft hier nicht zu. Für das Vorhaben, wie es der angefochtenen Plangenehmigung zu Grunde liegt, fehlt damit in materieller Hinsicht die vorausgesetzte Festlegung im Sachplan. Dieser Mangel steht der Bewilligung des Projekts am Standort Au entgegen. Die Bewilligungsfähigkeit setzt voraus, dass auch auf der Stufe Sachplanung die Auswirkungen auf den Wildtierkorridor bei der Standortwahl hinreichend in Betracht gezogen werden. e) Die Beschwerde des Beschwerdeführers 2 ist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