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375</w:t>
      </w:r>
    </w:p>
    <w:p>
      <w:r>
        <w:t>Bundesgericht (BGE), 2002-06-04, DE</w:t>
      </w:r>
    </w:p>
    <w:p>
      <w:r>
        <w:rPr>
          <w:b/>
        </w:rPr>
        <w:t xml:space="preserve">Quelle: </w:t>
      </w:r>
      <w:r>
        <w:t>https://mcp.opencaselaw.ch/entscheid/bge_BGE_128_III_375</w:t>
      </w:r>
    </w:p>
    <w:p>
      <w:r>
        <w:t>FR: ATF 128 III 375</w:t>
      </w:r>
    </w:p>
    <w:p>
      <w:r>
        <w:t>IT: DTF 128 III 375</w:t>
      </w:r>
    </w:p>
    <w:p>
      <w:pPr>
        <w:pStyle w:val="Heading2"/>
      </w:pPr>
      <w:r>
        <w:t>Regeste</w:t>
      </w:r>
    </w:p>
    <w:p>
      <w:r>
        <w:t>Regeste Genossenschaft; Verleihung des Stimmrechts an Nichtmitglieder (Art. 885 OR). Art. 885 OR ist zwingender Natur und verbietet, einem Nichtmitglied das Stimmrecht zu verleihen. Das folgt aus der körperschaftlichen Autonomie der Genossenschaft, ihrem personenbezogenen Charakter sowie ihrer Ausrichtung auf die wirtschaftlichen Interessen der Mitglieder (E. 3). Haftung der Verwaltung für die Verletzung ihrer Sorgfaltspflichten (Art. 916 i.V.m. Art. 902 OR). Pflicht der Verwaltung zu sorgfältiger Prüfung der Stimmberechtigung der an der Generalversammlung Anwesenden und der Abstimmungsergebnisse. Ist ein Mitglied der Verwaltung vom Ausgang des Abstimmungsergebnisses persönlich betroffen, gilt eine erhöhte Sorgfaltspflicht (E. 4).</w:t>
      </w:r>
    </w:p>
    <w:p>
      <w:r>
        <w:t>Regeste Société coopérative; attribution du droit de vote à un non-membre (art. 885 CO). L'art. 885 CO est impératif et interdit d'attribuer le droit de vote à un non-membre. Il s'agit d'une conséquence de l'autonomie corporative de la société coopérative, de son caractère personnel ainsi que de son but tendant à favoriser ou garantir les intérêts économiques de ses membres (consid. 3). Responsabilité de l'administration en cas de violation du devoir de diligence (art. 916 en liaison avec l'art. 902 CO). Obligation de l'administration d'examiner avec soin le droit de vote des personnes présentes à l'assemblée générale et les résultats de la votation. Le devoir de diligence est accru si un membre de l'administration est personnellement concerné par l'issue d'une votation (consid. 4).</w:t>
      </w:r>
    </w:p>
    <w:p>
      <w:r>
        <w:t>Regesto Società cooperativa; attribuzione del diritto di voto ai non soci (art. 885 CO). L'art. 885 CO ha natura imperativa e vieta l'attribuzione del diritto di voto ad un non socio. Ciò deriva dall'autonomia corporativa della società cooperativa, dal suo carattere personale e dal suo scopo, volto a favorire o garantire gli interessi economici dei suoi soci (consid. 3). Responsabilità dell'amministrazione in caso di violazione dell'obbligo di diligenza (art. 916 combinato con l'art. 902 CO). L'amministrazione è tenuta a verificare con precisione il diritto di voto delle persone presenti all'assemblea generale e i risultati della deliberazione. L'obbligo di diligenza è più grande qualora un membro dell'amministrazione abbia un interesse personale nell'esito della votazione (consid. 4).</w:t>
      </w:r>
    </w:p>
    <w:p>
      <w:pPr>
        <w:pStyle w:val="Heading2"/>
      </w:pPr>
      <w:r>
        <w:t>Erwägungen</w:t>
      </w:r>
    </w:p>
    <w:p>
      <w:r>
        <w:rPr>
          <w:b/>
        </w:rPr>
        <w:t>E. 3</w:t>
      </w:r>
    </w:p>
    <w:p>
      <w:r>
        <w:t>Unter den Parteien ist streitig, ob Genossenschaften Nichtmitgliedern ein Stimmrecht einräumen können, oder ob dies durch BGE 128 III 375 S. 377 zwingendes Recht ausgeschlossen ist. Der Beklagte vertritt vor Bundesgericht erneut die Auffassung, er habe aus der Statutenbestimmung, die ihm den Stichentscheid einräumte, ganz allgemein auf ein Stimmrecht schliessen dürfen. Zudem habe auch der Aktuar gemäss langjähriger Übung stets mitgestimmt.</w:t>
      </w:r>
    </w:p>
    <w:p>
      <w:r>
        <w:rPr>
          <w:b/>
        </w:rPr>
        <w:t>E. 3.1</w:t>
      </w:r>
    </w:p>
    <w:p>
      <w:r>
        <w:t>Nach Art. 885 OR hat jeder Genossenschafter in der Generalversammlung oder in der Urabstimmung eine Stimme. Diese Vorschrift ist zwingend ( BGE 72 II 91 E. 3 S. 103). Nach einhelliger Lehre ist die Verleihung eines Stimmrechts an Dritte im Rahmen der Genossenschaft deshalb unzulässig (FORSTMOSER, Berner Kommentar, N. 7 der Vorbemerkungen zu Art. 839-878 OR ; MOLL, Basler Kommentar, N. 2 zu Art. 885 OR ; REYMOND, Die Genossenschaft, in: Schweizerisches Privatrecht, Bd. VIII/5, S. 176; WENNINGER, Das Stimmrecht des Genossenschafters, Diss. Zürich 1943, S. 51 ff.; SIGG, Das oberste Organ der Genossenschaft, Diss. Zürich 1953, S. 23). Dem ist aus nachstehenden Gründen beizupflichten.</w:t>
      </w:r>
    </w:p>
    <w:p>
      <w:r>
        <w:rPr>
          <w:b/>
        </w:rPr>
        <w:t>E. 3.2</w:t>
      </w:r>
    </w:p>
    <w:p>
      <w:r>
        <w:t>Die Genossenschaft ist eine personenbezogene Körperschaft. Der körperschaftliche Wille wird durch Beschlussfassung der Generalversammlung gebildet. Nehmen daran Personen teil, die nicht der Körperschaft angehören, wird der Wille fremdbestimmt und die körperschaftliche Autonomie dadurch beeinträchtigt. Allerdings erachtet ein Teil der Lehre beim Verein, der ebenfalls eine personenbezogene Körperschaft ist, Statuten für zulässig, welche Nichtmitgliedern Mitwirkungsrechte einräumen (EGGER, Zürcher Kommentar, N. 10 zu Art. 66/67 ZGB; WENNINGER, a.a.O., S. 51; SIGG, a.a.O., S. 23 Fn. 17; zumindest für das Wahlrecht implizit zustimmend: MEIER-HAYOZ/FORSTMOSER, Schweizerisches Gesellschaftsrecht, 8. Aufl. 1998, § 20 N. 43 S. 506; a.A.: RIEMER, Berner Kommentar, N. 22 zu Art. 67 ZGB ; HEINI/SCHERRER, Basler Kommentar, N. 2 zu Art. 67 ZGB ). Auch nach altem Genossenschaftsrecht blieb die Regelung des Stimmrechts den Statuten überlassen (BBl 1928 I 298); mithin war die Verleihung des Stimmrechts an Dritte zulässig (WENNINGER, a.a.O., S. 52). Anders als das alte Genossenschaftsrecht und das geltende Vereinsrecht bestimmt indes Art. 885 OR wie dargelegt zwingend, dass jeder Genossenschafter in der Generalversammlung eine Stimme hat ( BGE 67 I 262 E. 2 S. 267 f.; BGE 90 II 333 E. 5b). Diese Gleichheit des Stimmrechts ergibt sich aus dem Wesen der Genossenschaft und ist unabdingbar ( BGE 69 II 41 E. 3 S. 48 f.). Sie gehört gewissermassen zu ihrem ethischen Grundgehalt, der besagt, dass jeder Genossenschafter gleich viel wiegt (GUHL/DRUEY, Das Schweizerische BGE 128 III 375 S. 378 Obligationenrecht, 9. Aufl. 2000, § 77 N. 29). Im Unterschied zum Verein ist die Genossenschaft von ihrer rechtlichen Konzeption her zudem ganz auf die Befriedigung der wirtschaftlichen Bedürfnisse ihrer Mitglieder und damit auf deren Interessen ausgerichtet (MEIER-HAYOZ/FORSTMOSER, a.a.O., § 19 N. 20). Die Verleihung des Stimmrechts an Dritte birgt die Gefahr fehlender Übereinstimmung zwischen dem Genossenschaftszweck und den Interessen der stimmberechtigten Nichtmitglieder. Die körperschaftliche Autonomie der Genossenschaft, ihr personenbezogener Charakter sowie ihre Ausrichtung auf die wirtschaftlichen Interessen der Mitglieder verbieten demnach, die statutarische Verleihung des Stimmrechts an Nichtmitglieder als zulässig zu betrachten.</w:t>
      </w:r>
    </w:p>
    <w:p>
      <w:r>
        <w:rPr>
          <w:b/>
        </w:rPr>
        <w:t>E. 3.3</w:t>
      </w:r>
    </w:p>
    <w:p>
      <w:r>
        <w:t>Die Vorinstanz hat zutreffend erkannt, dass dem Beklagten und dem damaligen Aktuar der Klägerin aufgrund zwingenden Rechts kein Stimmrecht zustand und die Genossenschaft ihnen auch kein solches verleihen konnte. Ob der Aktuar der Klägerin dennoch ein Stimmrecht auszuüben pflegte, wie der Beklagte behauptet, ist daher nicht erheblich. Die Vorinstanz hat somit entgegen der Auffassung des Beklagten Art. 8 ZGB nicht verletzt, wenn sie zu dieser Frage keine Beweise abnahm.</w:t>
      </w:r>
    </w:p>
    <w:p>
      <w:r>
        <w:rPr>
          <w:b/>
        </w:rPr>
        <w:t>E. 4</w:t>
      </w:r>
    </w:p>
    <w:p>
      <w:r>
        <w:t>Der Beklagte macht weiter geltend, das Mitzählen der beiden in Frage stehenden Stimmen stelle keine relevante Pflichtverletzung im Sinne von Art. 916 in Verbindung mit Art. 902 OR dar.</w:t>
      </w:r>
    </w:p>
    <w:p>
      <w:r>
        <w:rPr>
          <w:b/>
        </w:rPr>
        <w:t>E. 4.1</w:t>
      </w:r>
    </w:p>
    <w:p>
      <w:r>
        <w:t>Gemäss Art. 902 OR hat die Verwaltung die Geschäfte der Genossenschaft mit aller Sorgfalt zu leiten. Sie hat die Generalversammlung ordnungsgemäss durchzuführen. Zu ihren Pflichten im Rahmen der Vorbereitung und Durchführung der Generalversammlung gehört es, die Beschlussfähigkeit sowie die Stimmberechtigung der Anwesenden zu überprüfen und die Abstimmungsergebnisse sorgfältig zu ermitteln. Wie bei der Aktiengesellschaft ist bei der Verwaltung der Genossenschaft von einem objektivierten Sorgfaltsmassstab auszugehen (WATTER, Basler Kommentar, N. 2 zu Art. 902 OR ): Massgebend ist diejenige Sorgfalt, welche ein gewissenhafter und vernünftiger Mensch desselben Verkehrskreises wie der Verantwortliche unter den gleichen Umständen als erforderlich ansehen würde (FORSTMOSER/MEIER-HAYOZ/NOBEL, Schweizerisches Aktienrecht, 1996, § 36 N. 80).</w:t>
      </w:r>
    </w:p>
    <w:p>
      <w:r>
        <w:rPr>
          <w:b/>
        </w:rPr>
        <w:t>E. 4.2</w:t>
      </w:r>
    </w:p>
    <w:p>
      <w:r>
        <w:t>Die Mitglieder der Verwaltung haften für jedes Verschulden (BLICKENSTORFER, Die genossenschaftliche Verantwortlichkeit, Diss. BGE 128 III 375 S. 379 Zürich 1986, S. 75). Fahrlässigkeit ist gegeben, wenn das schädigende Ereignis für den Verantwortlichen vorauszusehen war. Dabei genügt, dass er nach der ihm zuzumutenden Aufmerksamkeit und Überlegung eine konkrete Gefahr der Schädigung hätte erkennen müssen. Ein strenger Massstab ist anzulegen, wenn Mitglieder der Verwaltung nicht im Interesse der Gesellschaft, sondern im eigenen Interesse handeln ( BGE 113 II 52 E. 3a S. 57).</w:t>
      </w:r>
    </w:p>
    <w:p>
      <w:r>
        <w:rPr>
          <w:b/>
        </w:rPr>
        <w:t>E. 4.3</w:t>
      </w:r>
    </w:p>
    <w:p>
      <w:r>
        <w:t>Nach den verbindlichen Feststellungen der Vorinstanz betraf das unrichtig ermittelte Abstimmungsergebnis einen Beschluss der ausserordentlichen Generalversammlung, welche zum Entscheid über die Abwahl des Präsidenten einberufen worden war. Dieser Gegenstand wie auch seine ausserordentliche Traktandierung waren geeignet, den bevorstehenden Beschluss als besonders heikel auszuweisen. Der Beklagte hatte daher abzuklären, ob auch Nichtgenossenschafter wahlberechtigt sind, wenn er dafür Anhaltspunkte zu erkennen glaubte, wie er in der Berufung vorbringt. Er musste damit rechnen, dass eine nicht gesetzeskonforme Durchführung der Abwahl nicht hingenommen würde und ein gerichtliches Nachspiel haben werde. Unter diesen Umständen wäre er gehalten gewesen, sich im Vorfeld der Versammlung Gedanken über seine eigene und die Stimmberechtigung des Aktuars zu machen. Dies gilt um so mehr, als der Beklagte als damaliger Präsident vom Ausgang des Beschlusses persönlich betroffen war, und ihn deshalb eine erhöhte Sorgfaltspflicht traf.</w:t>
      </w:r>
    </w:p>
    <w:p>
      <w:r>
        <w:rPr>
          <w:b/>
        </w:rPr>
        <w:t>E. 4.4</w:t>
      </w:r>
    </w:p>
    <w:p>
      <w:r>
        <w:t>Dass dem Beklagten, hätte er rechtskundigen Rat über die Stimmberechtigung von Nichtmitgliedern eingeholt, die Rechtslage dennoch verborgen geblieben wäre, macht er zu Recht nicht geltend. Er hat daher für die sorgfaltswidrige Abklärung der Stimmberechtigung und damit auch für die Kostenfolgen der deswegen angehobenen Anfechtungsklage einzustehen. Im Übrigen hat die Vorinstanz - insoweit unangefochten - angeführt, dass der Beklagte mit Schreiben vom 5. Mai 1998 auf die Rechtswidrigkeit des Beschlusses hingewiesen worden sei und es damals noch in der Hand gehabt hätte, die Einleitung eines Verfahrens und das damit verbundene Prozessrisiko abzuwenden. Auch im Hinblick darauf steht ausser Zweifel, dass sein pflichtwidriges Verhalten als adäquat kausale Ursache des eingetretenen Schadens zu betrachten ist.</w:t>
      </w:r>
    </w:p>
    <w:p>
      <w:r>
        <w:rPr>
          <w:b/>
        </w:rPr>
        <w:t>E. 4.5</w:t>
      </w:r>
    </w:p>
    <w:p>
      <w:r>
        <w:t>Der Beklagte macht in diesem Zusammenhang weiter geltend, die Einleitung des Anfechtungsprozesses müsse als widersprüchliches Verhalten schlechthin und damit als offenbarer Rechtsmissbrauch bezeichnet werden. Er habe nämlich immer wieder BGE 128 III 375 S. 380 betont, dass er an der Generalversammlung im Jahr 1999 zurücktreten werde. Über diese Tatsache habe das Handelsgericht zu Unrecht keine Beweise erhoben und damit auch Art. 8 ZGB verletzt. Die Argumentation des Beklagten ist nicht stichhaltig: Rechtsmissbrauch infolge widersprüchlichen Verhaltens setzt voraus, dass sich die rechtsuchende Partei zu ihrem eigenen Verhalten in Widerspruch setzt ( BGE 125 III 257 E. 2a). Inwiefern dies hier der Fall sein soll, legt der Beklagte nicht dar und ist auch nicht ersichtlich. Überdies konnte der klagende Genossenschafter durchaus ein Interesse daran haben, dass der Beklagte ab sofort und nicht erst ein Jahr später seines Amtes enthoben wurde. Ist die Frage, ob der Beklagte schon damals seinen Rücktritt angekündigt hatte, demnach nicht von Bedeutung, so liegt im Verzicht auf entsprechende Beweiserhebungen kein Verstoss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