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337</w:t>
      </w:r>
    </w:p>
    <w:p>
      <w:r>
        <w:t>Bundesgericht (BGE), 2002-06-25, DE</w:t>
      </w:r>
    </w:p>
    <w:p>
      <w:r>
        <w:rPr>
          <w:b/>
        </w:rPr>
        <w:t xml:space="preserve">Quelle: </w:t>
      </w:r>
      <w:r>
        <w:t>https://mcp.opencaselaw.ch/entscheid/bge_BGE_128_III_337</w:t>
      </w:r>
    </w:p>
    <w:p>
      <w:r>
        <w:t>FR: ATF 128 III 337</w:t>
      </w:r>
    </w:p>
    <w:p>
      <w:r>
        <w:t>IT: DTF 128 III 337</w:t>
      </w:r>
    </w:p>
    <w:p>
      <w:pPr>
        <w:pStyle w:val="Heading2"/>
      </w:pPr>
      <w:r>
        <w:t>Regeste</w:t>
      </w:r>
    </w:p>
    <w:p>
      <w:r>
        <w:t>Regeste Art. 93 Abs. 1 SchKG; Lohnpfändung, Notbedarf. Überprüfungsbefugnis des Bundesgerichts (E. 3a). Raumkosten für Haustiere fallen nicht unter die Wohnkosten des Schuldners (E. 3b). Die durchschnittlichen Auslagen für den Unterhalt und die Pflege von Haustieren sind im Betrag berücksichtigt, welcher dem Schuldner für seine kulturellen Bedürfnisse und die Freizeitbetätigung zusteht (E. 3c).</w:t>
      </w:r>
    </w:p>
    <w:p>
      <w:r>
        <w:t>Regeste Art. 93 al. 1 LP; saisie de salaire, minimum d'existence. Pouvoir d'examen du Tribunal fédéral (consid. 3a). Les coûts de locaux pour animaux domestiques ne rentrent pas dans les frais de logement du débiteur (consid. 3b). La moyenne des dépenses pour l'entretien et les soins d'animaux domestiques est prise en compte dans le montant laissé au débiteur pour ses besoins culturels et ses activités de loisirs (consid. 3c).</w:t>
      </w:r>
    </w:p>
    <w:p>
      <w:r>
        <w:t>Regesto Art. 93 cpv. 1 LEF; pignoramento di salario, minimo vitale. Potere d'esame del Tribunale federale (consid. 3a). I costi d'alloggio per animali domestici non rientrano fra le spese di locazione del debitore (consid. 3b). La media delle spese per il sostentamento e la cura di animali domestici viene presa in considerazione nell'importo lasciato al debitore per i suoi bisogni culturali e le sue attività di svago (consid. 3c).</w:t>
      </w:r>
    </w:p>
    <w:p>
      <w:pPr>
        <w:pStyle w:val="Heading2"/>
      </w:pPr>
      <w:r>
        <w:t>Erwägungen</w:t>
      </w:r>
    </w:p>
    <w:p>
      <w:r>
        <w:rPr>
          <w:b/>
        </w:rPr>
        <w:t>E. 3</w:t>
      </w:r>
    </w:p>
    <w:p>
      <w:r>
        <w:t>a) 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das Existenzminimum des Schuldners festzusetzen, sachfremde Kriterien berücksichtigt oder rechtserhebliche Umstände ausser Acht gelassen worden sind ( BGE 110 III 17 E. 2 S. 18; GILLIÉRON, Commentaire de la loi fédérale sur la poursuite pour dettes et la faillite, N. 165 f. zu Art. 93 SchKG ). b) Aus den Sachverhaltsfeststellungen im angefochtenen Entscheid geht hervor (Art. 63 Abs. 2 i.V.m. Art. 81 OG ), dass die Beschwerdeführerin einen Einpersonenhaushalt führt und mit der Haltung und Pflege der Papageien kein Einkommen erzielt. Die Beschwerdeführerin bringt im Wesentlichen vor, die Herabsetzung BGE 128 III 337 S. 338 des Zuschlages für Mietkosten um Fr. 500.- sei nicht gerechtfertigt, weil der gemietete Raum (Atelier und Garage) nicht der Bequemlichkeit, sondern der Unterbringung ihrer Papageien diene und daher die Kosten zum Notbedarf zu zählen seien; ihr werde in unbilliger Weise die Haltung und Pflege ihrer Haustiere verweigert. Soweit die Beschwerdeführerin damit geltend macht, die Vorinstanz habe die zusätzlichen Raumkosten für ihre Haustiere zu Unrecht ausser Acht gelassen, geht sie fehl: Der Grundsatz, dass der von einer Lohnpfändung betroffene Schuldner seine Lebenshaltung einschränken und mit dem zugestandenen Existenzminimum auskommen muss, gilt auch in Bezug auf die Wohnkosten; die hier anfallenden Auslagen können nur vollumfänglich berücksichtigt werden, wenn sie der familiären Situation des Schuldners und den ortsüblichen Ansätzen entsprechen ( BGE 119 III 70 E. 3c S. 73). Vor diesem Hintergrund kann von einer gesetzeswidrigen Ermessensausübung keine Rede sein, wenn die Vorinstanz in Bezug auf die familiäre Situation einzig darauf abgestellt hat, dass die Beschwerdeführerin Wohnkosten für eine Einzelperson benötigt, und die Raumkosten für die Haltung von 19 Papageien als unerheblich erachtet hat. Die Beschwerdeführerin behauptet im Übrigen selber nicht, dass die ihr zugestandenen Mietkosten von Fr. 1'250.- nicht den ortsüblichen Ansätzen entsprechen würden. c) Nach der Rechtsprechung ist anerkannt, dass zum Notbedarf ein bescheidener Betrag für kulturelle Bedürfnisse und für Freizeitbetätigung gehört ( BGE 81 III 96 E. 3 S. 98). Vorliegend hat das Betreibungsamt den Grundnotbedarf der Beschwerdeführerin auf Fr. 1'100.- festgesetzt. Dies entspricht dem monatlichen Grundbetrag für einen alleinstehenden Schuldner, wie ihn die Konferenz der Betreibungs- und Konkursbeamten der Schweiz in Ziff. I.1 ihrer Richtlinien für die Berechnung des betreibungsrechtlichen Existenzminimums nach Art. 93 SchKG vom 24. November 2001 empfiehlt (vgl. BlSchK 2001 S. 12 ff.) und in dem die durchschnittlichen Auslagen u.a. für Kulturelles bzw. Freizeit inbegriffen sind (vgl. VONDER MÜHLL, in: Kommentar zum Bundesgesetz über Schuldbetreibung und Konkurs, N. 24 zu Art. 93 SchKG ). Soweit die Beschwerdeführerin geltend macht, sie brauche darüber hinaus Fr. 500.- für die Haltung und Pflege ihrer 19 Papageien, kritisiert sie bloss die Höhe des in der Existenzminimumsberechnung bereits berücksichtigten Betrages. Auf diese Rüge der Unangemessenheit kann im Beschwerdeverfahren gemäss Art. 19 Abs. 1 SchKG nicht eingetreten werden. BGE 128 III 337 S. 339 d) Soweit sich die Beschwerdeführerin schliesslich gegen die von der Vorinstanz aufgeworfene Frage wendet, ob die Wohnung vom Atelier bzw. der Garage trennbar seien, gehen ihre Vorbringen ins Leere: Im kantonalen Verfahren wurde sie nicht etwa zur Kündigung der Miete von Atelier und Garage verpflichtet, sondern sind die ihr zugestandenen Wohnkosten (für irgendeine Wohnung) per 1. Oktober 2002 auf Fr. 1'250.- festgesetzt worden. Sodann versucht die Beschwerdeführerin von vornherein vergeblich, aus politischen Vorstössen zur Verbesserung der Rechtsstellung der Tiere etwas für sich abzuleiten, da bis heute weder über die entsprechenden Volksinitiativen abgestimmt wurde, noch die in diesem Zusammenhang vorgeschlagenen Gesetzesänderungen in Kraft getreten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