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324</w:t>
      </w:r>
    </w:p>
    <w:p>
      <w:r>
        <w:t>Bundesgericht (BGE), 2002-01-01, DE</w:t>
      </w:r>
    </w:p>
    <w:p>
      <w:r>
        <w:rPr>
          <w:b/>
        </w:rPr>
        <w:t xml:space="preserve">Quelle: </w:t>
      </w:r>
      <w:r>
        <w:t>https://mcp.opencaselaw.ch/entscheid/bge_BGE_128_III_324</w:t>
      </w:r>
    </w:p>
    <w:p>
      <w:r>
        <w:t>FR: ATF 128 III 324</w:t>
      </w:r>
    </w:p>
    <w:p>
      <w:r>
        <w:t>IT: DTF 128 III 324</w:t>
      </w:r>
    </w:p>
    <w:p>
      <w:pPr>
        <w:pStyle w:val="Heading2"/>
      </w:pPr>
      <w:r>
        <w:t>Regeste</w:t>
      </w:r>
    </w:p>
    <w:p>
      <w:r>
        <w:t>Regeste Unterschriftsfälschung des Namensträgers auf einem Wechsel. Wechselmässige Haftung aus veranlasstem Rechtsschein. Vertragshaftung. Hält die Wechselinhaberin gestützt auf das Verhalten der Bezogenen, das in ihr Vertrauen erweckt, deren Unterschrift auf dem Wechsel für echt, haftet ihr diese für den daraus erwachsenen Schaden. Diese Haftung ist den Regeln der Vertragshaftung zu unterstellen (E. 1 und 2).</w:t>
      </w:r>
    </w:p>
    <w:p>
      <w:r>
        <w:t>Regeste Falsification de la signature sur un effet de change. Responsabilité cambiaire fondée sur l'apparence juridique. Responsabilité contractuelle. Le tiré, qui par son comportement fait croire au porteur de l'effet de change que sa signature est authentique, répond à l'égard de celui-ci du dommage qui en résulte. Cette responsabilité est soumise aux règles de la responsabilité contractuelle (consid. 1 et 2).</w:t>
      </w:r>
    </w:p>
    <w:p>
      <w:r>
        <w:t>Regesto Falsificazione della firma del trattario su di una cambiale. Responsabilità secondo il diritto cambiario fondata sull'apparenza giuridica. Responsabilità contrattuale. Il trattario che, con il suo comportamento, ha indotto la detentrice della cambiale a confidare nell'autenticità della sua firma, è tenuto a rispondere del danno che gliene è derivato. Questa responsabilità soggiace alle regole della responsabilità contrattuale (consid. 1 e 2).</w:t>
      </w:r>
    </w:p>
    <w:p>
      <w:pPr>
        <w:pStyle w:val="Heading2"/>
      </w:pPr>
      <w:r>
        <w:t>Erwägungen</w:t>
      </w:r>
    </w:p>
    <w:p>
      <w:r>
        <w:rPr>
          <w:b/>
        </w:rPr>
        <w:t>E. 1.1</w:t>
      </w:r>
    </w:p>
    <w:p>
      <w:r>
        <w:t>Die Vorinstanz erwog hinsichtlich des Wechsels über SFr. 205'750.-, die Beklagte habe weder die Echtheit der Unterschrift ihrer Verwaltungsrätin ausdrücklich bestätigt, noch die Zahlung der Wechselsumme in Aussicht gestellt oder explizit erklärt, der Wechsel gehe in Ordnung. Die schriftliche Bestätigung, es sei ein Wechsel über diese Summe vorhanden, verbunden mit dem Schweigen über die Tatsache der gefälschten Unterschrift vermöchten keine konkludente Genehmigung des Begebungsvertrages zu bewirken. Eine Genehmigungswirkung sei daher aus Gründen der nicht überzeugenden Analogie zum Stellvertretungsrecht und in Berücksichtigung des konkreten Falles abzulehnen. BGE 128 III 324 S. 326 Die Vorinstanz hielt jedoch dafür, das Verhalten der Beklagten begründe hinsichtlich des Wechsels über SFr. 205'750.- eine wechselmässige Haftung sowohl unter dem Aspekt des verursachten Rechtsscheins als auch unter demjenigen von Treu und Glauben. Die Anfrage der Klägerin vom 30. Juli 1996 habe sich unmissverständlich auf die Gültigkeit der Unterschrift auf dem Wechsel bezogen. Obwohl die Verwaltungsrätin der Beklagten die Fälschung sofort erkannt habe, habe sie dies in ihrem Schreiben mit keinem Wort erwähnt, sondern eine Formulierung gewählt, in welcher eine positive, bejahende Antwort erblickt werden dürfe. Selbst wenn dieses Schreiben noch nicht für die Klägerin, sondern zuerst für die C. GmbH bestimmt war, hätte die Beklagte anlässlich der Anfrage der Klägerin vom 31. Juli 1996 ohne Zweifel erkennen müssen, dass diese im Besitze ihres Schreibens war. Statt sie aber über die Fälschung aufzuklären, habe die Verwaltungsrätin der Beklagten lediglich ein weiteres Bestätigungsschreiben betreffend die korrekte Währung verfasst. Die Beklagte habe damit nicht nur auf Anfrage hin geschwiegen, sondern durch ihr aktives Handeln einen Rechtsschein geschaffen, wodurch die Klägerin in einen Irrtum über die Echtheit der Unterschrift versetzt worden sei, der sie schliesslich dazu bewogen habe, den Wechsel zu diskontieren.</w:t>
      </w:r>
    </w:p>
    <w:p>
      <w:r>
        <w:rPr>
          <w:b/>
        </w:rPr>
        <w:t>E. 1.2</w:t>
      </w:r>
    </w:p>
    <w:p>
      <w:r>
        <w:t>Mit Hinweis auf BGE 41 II 369 ff. und auf die zur Theorie des Rechtsscheins nicht einheitliche Lehre kritisiert die Beklagte deren Anwendung durch die Vorinstanz. Sie behauptet, die Einrede der Unterschriftsfälschung habe absoluten Charakter. Wenn eine Wechselunterschrift gefälscht sei, dann habe der Namensträger keinerlei Berührung mit dem Papier. Es gebe keinen Sachverhalt, auf Grund dessen er wechselrechtlich behaftet werden könne. Der gutgläubige Wechselerwerber müsse das inhärente Risiko selbst tragen. Die auf der gleichen Ebene wie die Haftung aus Rechtsschein liegende Haftung nach Treu und Glauben müsse ebenfalls abgelehnt werden.</w:t>
      </w:r>
    </w:p>
    <w:p>
      <w:r>
        <w:rPr>
          <w:b/>
        </w:rPr>
        <w:t>E. 2.1</w:t>
      </w:r>
    </w:p>
    <w:p>
      <w:r>
        <w:t>BGE 41 II 369 wurde vor Inkrafttreten der auf dem Genfer Abkommen über die Vereinheitlichung des Wechselrechts von 1930 basierenden aktuellen Regelung gefällt. In diesem Urteil lehnte das Bundesgericht eine mit wechselrechtlicher Wirkung verbundene "nachträgliche Genehmigung" einer Unterschriftsfälschung ab mit der Begründung, eine wechselmässige Verpflichtung könne nur durch den Formalakt der eigenhändigen Unterzeichnung des Wechsels entstehen. Das Bundesgericht befürwortete dagegen eine deliktische Haftung des Ausstellers. BGE 128 III 324 S. 327</w:t>
      </w:r>
    </w:p>
    <w:p>
      <w:r>
        <w:rPr>
          <w:b/>
        </w:rPr>
        <w:t>E. 2.2</w:t>
      </w:r>
    </w:p>
    <w:p>
      <w:r>
        <w:t>Der Namensträger, insbesondere der Bezogene, dessen Unterschrift auf einem Wechsel gefälscht wurde, haftet grundsätzlich (wechselrechtlich) nicht, auch nicht einem gutgläubigen Erwerber, da er die Wechselverpflichtung zumindest formell nie eingegangen ist (BAUMBACH/HEFERMEHL, Wechselgesetz und Scheckgesetz, 22. Aufl., München 2000, N. 5 zu Art. 7 WG /D). Es stellt sich jedoch die Frage nach einer Haftung aus veranlasstem Rechtsschein bzw. aus Treu und Glauben, wie dies die Vorinstanz angenommen hat. Dabei ist eine Abgrenzung zwischen diesen Begriffen nicht nötig, drückt doch im Wechselrecht die Rechtsscheintheorie den Inhalt des Vertrauensprinzips mit anderen Worten aus (JÄGGI, Zürcher Kommentar, N. 57 zu Art. 979 OR ; WALTER OTT, Das Vertrauensprinzip und die Lehre vom Einredenausschluss im Wechselrecht, in: SJZ 75/1979 S. 153 ff., 154 Fn. 4 mit Hinweisen; vgl. ebenfalls HANS PETER WALTER, Die Vertrauenshaftung: Unkraut oder Blume im Garten des Rechts?, in: ZSR 120/2001 I S. 83; a.M. BAUMBACH/HEFERMEHL, a.a.O., N. 5 zu Art. 7 WG /D). Die Haftung aus erwecktem und enttäuschtem Vertrauen setzt das Bestehen einer rechtlichen Sonderverbindung voraus. Diese unterscheidet sich von der deliktsrechtlichen Konstellation des zufälligen und ungewollten Zusammenpralls beliebiger Personen dadurch, dass die Beteiligten - ausserhalb einer vertraglichen Bindung - rechtlich in besonderer Nähe zueinander stehen, wobei sie einander gegenseitig Vertrauen gewähren und Vertrauen in Anspruch nehmen. Aus dieser rechtlichen Sonderverbindung ergeben sich aus Treu und Glauben ( Art. 2 ZGB ) hergeleitete Schutz- und Aufklärungspflichten ( BGE 120 II 331 E. 5a S. 336). Eine derartige Sonderverbindung entsteht allerdings nur aus bewusstem oder normativ zurechenbarem Verhalten der in Anspruch genommenen Person (SJ 2000 I S. 549 ff., S. 554; 4C.280/1999). Schutzwürdiges Vertrauen setzt zudem ein Verhalten des Schädigers voraus, das geeignet ist, hinreichend konkrete und bestimmte Erwartungen des Geschädigten zu wecken ( BGE 124 III 297 E. 6a S. 304). Trifft der Geschädigte sich als nachteilig erweisende Dispositionen, hat der Schädiger für den aus enttäuschtem Vertrauen verursachten Schaden einzustehen.</w:t>
      </w:r>
    </w:p>
    <w:p>
      <w:r>
        <w:rPr>
          <w:b/>
        </w:rPr>
        <w:t>E. 2.3</w:t>
      </w:r>
    </w:p>
    <w:p>
      <w:r>
        <w:t>Der von der Vorinstanz vorgeschlagenen wechselmässigen Haftung des Namensträgers aus veranlasstem Rechtsschein stimmt die Doktrin zu, wenn auch zum Teil nur unter bestimmten Voraussetzungen (HUECK/CANARIS, Recht der Wertpapiere, 12. Aufl., München 1986, § 9 II.3.b. S. 112 f.; BAUMBACH/HEFERMEHL, a.a.O., N. 10 zu BGE 128 III 324 S. 328 Art. 7 WG /D: nur bei Verschulden; GRÜNINGER/HUNZIKER/NOTTER, Basler Kommentar, N. 4 zu Art. 997 OR und N. 17 zu Art. 1007 OR : z.B. bei mehrmaliger Einlösung gefälschter Akzeptunterschriften; im Ergebnis gl.M. MEIER-HAYOZ/VON DER CRONE, Wertpapierrecht, 2. Aufl., Bern 2000, § 4 N. 49, insbesondere Fn. 63; a.M. PETER BÜLOW, Wechselgesetz, Scheckgesetz, Allgemeine Geschäftsbedingungen, 2. Aufl., Heidelberg 1995, N. 11 ff., N. 14 zu Art. 7 WG /D). Für HUECK/CANARIS (a.a.O., § 9 II.3.b. S. 113 mit Hinweisen) schafft die Bestätigung der Echtheit in zurechenbarer Weise einen Scheintatbestand, so dass die Voraussetzungen einer Rechtsscheinhaftung gegeben sind. Für diese Autoren gilt dasselbe grundsätzlich auch beim Schweigen auf eine Anfrage, weil und sofern auch darin ein zurechenbarer Scheintatbestand liegt. Diese Fälle, bei denen eine Verbindung zwischen dem Scheintatbestand und dem Verhalten des Betroffenen gegeben ist, bilden somit eine Ausnahme von den Zurechenbarkeitseinwendungen, die normalerweise absolut sind und jedem, also auch dem gutgläubigen Erwerber eines Wechsels, entgegengehalten werden können, weil der Scheinschuldner den Rechtsschein nicht in zurechenbarer Weise veranlasst hat (HUECK/CANARIS, a.a.O., § 9 I.5.a. S. 108).</w:t>
      </w:r>
    </w:p>
    <w:p>
      <w:r>
        <w:rPr>
          <w:b/>
        </w:rPr>
        <w:t>E. 2.4</w:t>
      </w:r>
    </w:p>
    <w:p>
      <w:r>
        <w:t>Eine Sonderverbindung zwischen der Klägerin als Wechselinhaberin und der Beklagten als Bezogene kann mit Blick auf ihr Verhalten bejaht werden. Die Vorinstanz hat für das Bundesgericht verbindlich festgestellt ( Art. 63 Abs. 2 OG ), die Beklagte habe nach der ersten Anfrage der Klägerin vom 30. Juli 1996 die Fälschung sofort erkannt, aber ihr dies in ihrer Antwort, nämlich in ihrem Faxschreiben, nicht mitgeteilt. Mit Recht hat die Vorinstanz erwogen, auch wenn die Antwort der Beklagten damals nicht für die Klägerin, sondern vorerst für den Aussteller bestimmt gewesen sei, habe sie infolge der zweiten Anfrage der Klägerin vom 31. Juli 1996 erkennen müssen, dass Letztere im Besitze des Faxschreibens vom 30. Juli 1996 gewesen sei; sie habe jedoch die Klägerin nicht aufgeklärt, sondern ein weiteres Bestätigungsschreiben verfasst, wiederum ohne die Unterschriftsfälschung zu erwähnen. Der Einwand der Beklagten, die Klägerin sei durch eine andere Erfahrung mit Wechseln misstrauisch gewesen und hätte daher ihre Anfrage anders formulieren müssen, was sich auf den Inhalt der Antwort der Beklagten ausgewirkt hätte, betrifft die tatsächlichen Feststellungen der Vorinstanz und ist im Berufungsverfahren nicht zu hören ( Art. 55 Abs. 1 lit. c OG ). Ebenso verhält es sich mit den Ausführungen der Beklagten betreffend die Erfahrung der Parteien mit BGE 128 III 324 S. 329 Wechselgeschäften (vgl. BGE 109 II 452 E. 5d S. 460 f.). Vielmehr ergibt sich aus dem festgestellten Sachverhalt, dass die im Handel tätige Beklagte mit dem Aussteller in geschäftlicher Verbindung stand; darauf deutet auch hin, dass sie die beiden Faxschreiben zuerst an diesen richtete. Unerheblich ist, dass die Beklagte nichts von den Geschäftsbeziehungen der Klägerin mit dem Aussteller des Wechsels wusste, zumal sie sich spätestens bei der Anfrage über die Echtheit der Unterschrift danach erkundigen konnte. Mit der Vorinstanz ist davon auszugehen, dass die Klägerin gestützt auf das Verhalten der Beklagten, das ihr Vertrauen erweckt hatte, die Unterschrift auf dem Wechsel über SFr. 205'750.- für echt hielt. Indessen wurden die Wechsel, obwohl bei der Zahlungsstelle fristgerecht vorgelegt, nicht eingelöst.</w:t>
      </w:r>
    </w:p>
    <w:p>
      <w:r>
        <w:rPr>
          <w:b/>
        </w:rPr>
        <w:t>E. 2.5</w:t>
      </w:r>
    </w:p>
    <w:p>
      <w:r>
        <w:t>Da die Klägerin in ihrem aus der Sonderverbindung zur Beklagten erweckten Vertrauen enttäuscht wurde, haftet Letztere für den Schaden, welcher der Klägerin daraus erwächst. Diese Haftung ist vorliegend den Regeln der Vertragshaftung zu unterstellen (HANS PETER WALTER, a.a.O., S. 99; derselbe, Vertrauenshaftung im Umfeld des Vertrages, in: ZBJV 132/1996 S. 273 ff., 295), entsteht doch diese Sonderverbindung, generell ausgedrückt, im Umfeld eines gescheiterten Anweisungsverhältnisses (Leistungsverhältnis bzw. Einlösungsverhältnis; dazu MEIER-HAYOZ/VON DER CRONE, a.a.O., § 6 N. 1 ff., N. 8) zwischen Wechselinhaber und Wechselbezogenem oder, spezifischer ausgedrückt, weil wegen der Annahmeverweigerung des Wechsels durch den Bezogenen kein Begebungsvertrag zwischen diesem und dem Wechselinhaber zustande kommt (dazu MEIER-HAYOZ/VON DER CRONE, a.a.O., § 7 N. 113; HUECK/CANARIS, a.a.O., § 7 III.3.). Daraus ergibt sich, dass die Festsetzung des Schadens sich nach den Grundsätzen von Art. 99 in Verbindung mit Art. 43 f. OR zu richten hat. Die von der Beklagten vorgebrachten Herabsetzungsgründe (leichte Fahrlässigkeit der Beklagten, Selbstverschulden der Klägerin) entbehren jedoch, wie bereits bemerkt (E. 2.4), jeglicher Grundlage im festgestellten Sachverhalt, so dass diesbezüglich von einer Verletzung des Bundesrechts durch die Vorinstanz keine Rede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