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186</w:t>
      </w:r>
    </w:p>
    <w:p>
      <w:r>
        <w:t>Bundesgericht (BGE), 2002-04-25, FR</w:t>
      </w:r>
    </w:p>
    <w:p>
      <w:r>
        <w:rPr>
          <w:b/>
        </w:rPr>
        <w:t xml:space="preserve">Quelle: </w:t>
      </w:r>
      <w:r>
        <w:t>https://mcp.opencaselaw.ch/entscheid/bge_BGE_128_III_186</w:t>
      </w:r>
    </w:p>
    <w:p>
      <w:r>
        <w:t>FR: ATF 128 III 186</w:t>
      </w:r>
    </w:p>
    <w:p>
      <w:r>
        <w:t>IT: DTF 128 III 186</w:t>
      </w:r>
    </w:p>
    <w:p>
      <w:pPr>
        <w:pStyle w:val="Heading2"/>
      </w:pPr>
      <w:r>
        <w:t>Regeste</w:t>
      </w:r>
    </w:p>
    <w:p>
      <w:r>
        <w:t>Regeste Anforderungen an den Inhalt der Mahnung gemäss Art. 20 Abs. 1 VVG. Das in Art. 20 Abs. 1 VVG vorgesehene Mahnschreiben, mit dem der Versicherer den Schuldner auffordert, die verfallene Prämie innerhalb von 14 Tagen zu bezahlen, muss alle Säumnisfolgen nennen, mithin nicht nur das Ruhen der Leistungspflicht des Versicherers nach Art. 20 Abs. 3 VVG, sondern auch das Recht des Versicherers, vom Vertrag zurückzutreten, beziehungsweise die Vermutung des Rücktritts gemäss Art. 21 Abs. 1 VVG (E. 2).</w:t>
      </w:r>
    </w:p>
    <w:p>
      <w:r>
        <w:t>Regeste Exigences quant au contenu de la sommation selon l'art. 20 al. 1 LCA. La sommation prévue par l'art. 20 al. 1 LCA, par laquelle l'assureur somme le débiteur de payer dans les quatorze jours la prime échue, doit rappeler toutes les conséquences du retard, à savoir non seulement la suspension de la couverture d'assurance à partir de l'expiration du délai légal selon l'art. 20 al. 3 LCA, mais aussi le droit de l'assureur de résilier le contrat, respectivement la fiction de résiliation selon l'art. 21 al. 1 LCA (consid. 2).</w:t>
      </w:r>
    </w:p>
    <w:p>
      <w:r>
        <w:t>Regesto Esigenze poste al contenuto della diffida ai sensi dell'art. 20 cpv. 1 LCA. La diffida prevista dall'art. 20 cpv. 1 LCA, con cui l'assicuratore diffida il debitore a pagare entro quattordici giorni il premio scaduto, deve indicare tutte le conseguenze della mora e cioè non solo la sospensione della copertura assicurativa a partire dalla scadenza del termine di cui all'art. 20 cpv. 3 LCA, ma anche il diritto dell'assicuratore di recedere dal contratto risp. la presunzione di tale recesso secondo l'art. 21 cpv. 1 LCA (consid. 2).</w:t>
      </w:r>
    </w:p>
    <w:p>
      <w:pPr>
        <w:pStyle w:val="Heading2"/>
      </w:pPr>
      <w:r>
        <w:t>Erwägungen</w:t>
      </w:r>
    </w:p>
    <w:p>
      <w:r>
        <w:rPr>
          <w:b/>
        </w:rPr>
        <w:t>E. 2</w:t>
      </w:r>
    </w:p>
    <w:p>
      <w:r>
        <w:t>La sommation adressée le 23 juin 1999 par la défenderesse à la demanderesse portait l'injonction de payer dans les quatorze jours la prime trimestrielle échue et l'avertissement que, à défaut de paiement, l'assurance serait suspendue pour tout sinistre subséquent; BGE 128 III 186 S. 188 elle ne contenait en revanche pas l'avertissement que l'assureur pourrait alors se départir du contrat. Il se pose ainsi la question de savoir - et la contestation soumise au Tribunal fédéral porte uniquement sur ce point - si cette sommation a été valablement faite, et donc si le contrat a pu être valablement résilié le 22 juillet 1999. La cour cantonale a considéré que l'avertissement que l'assureur pourrait se départir du contrat à défaut de paiement dans les quatorze jours n'était pas nécessaire à la validité de la sommation et donc de la résiliation, ce que la demanderesse conteste. a) L' art. 20 LCA dispose que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Selon l' art. 21 LCA , l'assureur a alors le choix: il peut, dans les deux mois après l'expiration du délai fixé par l' art. 20 LCA , poursuivre le paiement de la prime en souffrance, son obligation reprenant alors effet dès le paiement; il peut aussi se départir du contrat et renoncer au paiement de la prime arriérée, cette résiliation se présumant à défaut de poursuite dans les deux mois ( ATF 103 II 204 consid. 1). b) L' art. 20 al. 1 LCA exige que le débiteur soit informé de manière explicite et complète sur toutes les conséquences du retard (FRANZ HASENBÖHLER, Basler Kommentar, Bundesgesetz über den Versicherungsvertrag, 2001, n. 42 ad art. 20 LCA ; MORITZ KUHN/PASCAL MONTAVON, Droit des assurances privées, 1994, p. 192). Une sommation qui n'indique pas ces conséquences est irrégulière et ne saurait produire les effets qu'elle omet de rappeler (HANS ROELLI/MAX KELLER, Kommentar zum Bundesgesetz über den Versicherungsvertrag, vol. I, 1968, p. 344 et les arrêts cités; BERNARD VIRET, Droit des assurances privées, 3e éd. 1991, p. 115 et 117; WILLY KOENIG, Schweizerisches Privatversicherungsrecht, 3e éd. 1967, p. 120). c) Si une partie de la doctrine, à l'instar de la jurisprudence cantonale (cf. les décisions citées par OLIVIER CARRÉ, Loi fédérale sur le contrat d'assurance, édition annotée, 2000, p. 214 s.), ne mentionne, au titre des conséquences devant être rappelées dans la sommation, que la suspension de la couverture d'assurance à partir de l'expiration du délai légal (ALFRED MAURER, Privatversicherungsrecht, 3e éd. 1995, p. 293; KOENIG, op. cit., p. 121; FRITZ OSTERTAG/PAUL HIESTAND, BGE 128 III 186 S. 189 Das Bundesgesetz über den Versicherungsvertrag, 2e éd. 1928, n. 7 ad art. 20 LCA ), d'autres auteurs estiment que la sommation doit aussi indiquer les autres conséquences prévues par l' art. 21 al. 1 LCA , à savoir le droit de résilier le contrat, respectivement la fiction de résiliation (HASENBÖHLER, op. cit., n. 42 ad art. 20 LCA ; ROELLI/KELLER, op. cit., p. 344). Quant au Tribunal fédéral, il a simplement exposé que "[l]' art. 20 LCA institue une mise en demeure qualifiée ayant un effet spécifique clairement exprimé à l'art. 20 al. 3: l'obligation de l'assureur est suspendue, le contrat demeurant en vigueur aux conditions de l'art. 21" ( ATF 103 II 204 consid. 5a). d) La LCA déroge en faveur de l'assureur au régime commun de la demeure en ce sens que, à l'expiration du délai fixé au débiteur pour s'exécuter, non seulement l'assureur a le choix de poursuivre le paiement de la prime en souffrance ou de se départir du contrat ( art. 21 LCA ; cf. art. 107 al. 2 CO ), mais encore son obligation est suspendue ( art. 20 al. 3 LCA ); si l'assureur ne se départit pas du contrat - la résiliation étant présumée si l'assureur n'a pas poursuivi le paiement de la prime en souffrance dans les deux mois après l'expiration du délai fixé par l' art. 20 LCA ( art. 21 al. 1 LCA ) -, son obligation ne reprend effet qu'à partir du moment où la prime arriérée a été acquittée avec les intérêts et les frais ( art. 21 al. 2 LCA ). La suspension de la couverture d'assurance a été prévue par la loi pour tenir compte des particularités de l'assurance: le recouvrement juridique de la prime n'est pas compatible avec la nature de l'exploitation de l'assureur, lequel doit pouvoir compter sur le paiement ponctuel des primes (Message du Conseil fédéral sur le projet d'une loi fédérale concernant le contrat d'assurance, FF 1904 I 267 ss, 317; KOENIG, op. cit., p. 120), et il conduirait l'assureur à reporter les pertes dues aux mauvais payeurs en adaptant le tarif des primes pour l'ensemble des assurés (MAURER, op. cit., p. 293). C'est pour sauvegarder d'une manière convenable les intérêts du débiteur face aux conséquences économiques rigoureuses, sans équivalent dans le droit commun, que représente la suspension de la couverture d'assurance, que le législateur a rompu avec le système de la demeure suivant le droit commun - en vertu duquel l'interpellation du débiteur n'aurait même pas été nécessaire, s'agissant d'une dette échue à un terme fixe ( art. 108 ch. 3 CO ) - en prescrivant l'envoi d'une sommation répondant à des exigences strictes quant à sa forme et quant à son contenu. BGE 128 III 186 S. 190 e) La cour cantonale n'a ainsi pas tort lorsqu'elle affirme que, selon une interprétation téléologique aussi bien qu'historique, c'est avant tout dans le souci de protéger l'assuré de la suspension de l'obligation de l'assureur, et non pas tant de la résiliation de son contrat, que le législateur a prévu l'observation de formes strictes pour la sommation. Il n'en demeure pas moins que l'exigence d'une sommation écrite et rappelant les conséquences du retard a été introduite dans un but de protection de l'assuré. Or si celui-ci est averti uniquement de ce que, à défaut de paiement dans un délai de quatorze jours, l'obligation de l'assureur est suspendue (pour ne reprendre effet qu'à partir du moment où la prime arriérée a été acquittée avec les intérêts et les frais), il ne saurait imaginer - l'avertissement incomplet étant au contraire de nature à l'induire en erreur sur ce point - que dès l'expiration du délai, l'assureur est en droit de se départir du contrat. Dès lors que la naissance de ce droit formateur de l'assureur - dont la loi, dans un but de protection de l'assuré (cf. le Message précité, p. 317), présume l'exercice à défaut de poursuite par l'assureur dans les deux mois - présuppose la demeure du débiteur et constitue ainsi indubitablement une conséquence de cette demeure, la sommation doit en informer le débiteur en vertu de l'art. 20 al. 1, 2e phrase, LCA. f) Il résulte de ce qui précède que la défenderesse n'a pas pu valablement résilier le contrat d'assurance ensuite d'une sommation qui n'informait pas la demanderesse sur cette conséquence du retard. L'arrêt entrepris, qui viole le droit fédéral, doit ainsi être réformé dans le sens sollicité par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