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169</w:t>
      </w:r>
    </w:p>
    <w:p>
      <w:r>
        <w:t>Bundesgericht (BGE), 2002-03-06, DE</w:t>
      </w:r>
    </w:p>
    <w:p>
      <w:r>
        <w:rPr>
          <w:b/>
        </w:rPr>
        <w:t xml:space="preserve">Quelle: </w:t>
      </w:r>
      <w:r>
        <w:t>https://mcp.opencaselaw.ch/entscheid/bge_BGE_128_III_169</w:t>
      </w:r>
    </w:p>
    <w:p>
      <w:r>
        <w:t>FR: ATF 128 III 169</w:t>
      </w:r>
    </w:p>
    <w:p>
      <w:r>
        <w:t>IT: DTF 128 III 169</w:t>
      </w:r>
    </w:p>
    <w:p>
      <w:pPr>
        <w:pStyle w:val="Heading2"/>
      </w:pPr>
      <w:r>
        <w:t>Regeste</w:t>
      </w:r>
    </w:p>
    <w:p>
      <w:r>
        <w:t>Regeste Auslegung einer Dienstbarkeit (Art. 738 ZGB). Bei klarem Wortlaut des Grundbucheintrages ist dieser allein für den Inhalt der Dienstbarkeit massgeblich. Enthält der Grundbucheintrag lediglich ein Stichwort wie z.B. Quellen-, Weg- oder Grenzbaurecht, ist er in der Regel zu rudimentär, als dass sich Rechte und Pflichten aus ihm deutlich ergäben. In diesem Fall ist für den Inhalt der Dienstbarkeit im Rahmen des Eintrags auf ihren Erwerbsgrund oder auf die Art abzustellen, wie sie während längerer Zeit unangefochten und in gutem Glauben ausgeübt worden ist (E. 3).</w:t>
      </w:r>
    </w:p>
    <w:p>
      <w:r>
        <w:t>Regeste Interprétation d'une servitude (art. 738 CC). Lorsque l'inscription au registre foncier est claire, elle est seule déterminante pour le contenu de la servitude. Si l'inscription ne contient qu'un mot clé, comme par exemple droit de source, droit de passage ou droit de construire en limite, elle est en général trop sommaire pour qu'il en résulte clairement des droits et obligations. Dans ce cas, pour définir le contenu de la servitude dans le cadre de l'inscription, il faut se référer à l'acte constitutif ou à la manière dont la servitude a été exercée pendant longtemps, paisiblement et de bonne foi (consid. 3).</w:t>
      </w:r>
    </w:p>
    <w:p>
      <w:r>
        <w:t>Regesto Interpretazione di una servitù (art. 738 CC). Quando l'iscrizione a registro fondiario è chiara, questa sola è determinante per il contenuto della servitù. Se l'iscrizione contiene soltanto una parola chiave quale, ad esempio, diritto di sorgente, diritto di passo o diritto di costruzione a confine, essa è in generale troppo sommaria per determinare i diritti e le obbligazioni che derivano dalla servitù. In tal caso, per definire l'estensione della servitù nel quadro dell'iscrizione, bisogna riferirsi all'atto costitutivo o al modo in cui è stata esercitata per molto tempo, pacificamente ed in buona fede (consid. 3).</w:t>
      </w:r>
    </w:p>
    <w:p>
      <w:pPr>
        <w:pStyle w:val="Heading2"/>
      </w:pPr>
      <w:r>
        <w:t>Erwägungen</w:t>
      </w:r>
    </w:p>
    <w:p>
      <w:r>
        <w:rPr>
          <w:b/>
        </w:rPr>
        <w:t>E. 2</w:t>
      </w:r>
    </w:p>
    <w:p>
      <w:r>
        <w:t>Nach Auffassung der Beklagten sind Wortlaut und Bedeutung des Grundbucheintrages klar und deutlich. Es handle sich um das Recht, an die Grenze zu bauen. Auf den Begründungsakt dürfe folglich nicht abgestellt werden oder jedenfalls nur für Lage und Ausmass der Baute. Wegen des klaren Wortlautes ("Grenzbaurecht") hätten sie auch keine Veranlassung gehabt, die Grundbuchbelege nach einem Wirteverbot abzusuchen. Bei diesem gehe es nicht um eine funktionelle Beschränkung der Dienstbarkeit, sondern um eine damit verbundene nebensächliche Unterlassungspflicht, die der Eintragung in das Grundbuch bedürfe, um gegenüber Dritten wirksam zu werden. Die Kläger stellen sich demgegenüber auf den Standpunkt, der Grundbucheintrag sei keineswegs klar und deutlich. Aus ihm sei nicht ersichtlich, wo genau an die Grenze gebaut werden BGE 128 III 169 S. 172 dürfe, in welcher Dimension und zu welchem Zweck. Folglich müsse auf den Erwerbsgrund zurückgegriffen werden und die Beklagten könnten sich nicht auf ihren guten Glauben berufen. Im Übrigen gehe es nicht darum, dass deren Grundstück mit einem Wirteverbot belastet sei, vielmehr gehe es um ein Grenzbaurecht, das im Dienstbarkeitsvertrag inhaltlich näher umschrieben sei. Zu dieser Umschreibung gehöre nicht nur die bauliche Beschaffenheit, sondern auch die Nutzungsart der Grenzbaute.</w:t>
      </w:r>
    </w:p>
    <w:p>
      <w:r>
        <w:rPr>
          <w:b/>
        </w:rPr>
        <w:t>E. 3</w:t>
      </w:r>
    </w:p>
    <w:p>
      <w:r>
        <w:t>a) Soweit sich Rechte und Pflichten aus dem Eintrag deutlich ergeben, ist dieser für den Inhalt der Dienstbarkeit massgebend ( Art. 738 Abs. 1 ZGB ). Im Rahmen des Eintrages kann sich der Inhalt der Dienstbarkeit aus ihrem Erwerbsgrund oder aus der Art ergeben, wie sie während längerer Zeit unangefochten und in gutem Glauben ausgeübt worden ist ( Art. 738 Abs. 2 ZGB ). Nach konstanter bundesgerichtlicher Rechtsprechung schliesst der klare Wortlaut des Grundbucheintrages ein Vorgehen gemäss Art. 738 Abs. 2 ZGB aus (letztmals BGE 123 III 461 E. 2b S. 464). Ist der Wortlaut hingegen unklar, ist auf den Begründungsakt zurückzugreifen, der als Beleg beim Grundbuchamt aufbewahrt wird ( Art. 948 Abs. 2 ZGB ) und einen Bestandteil des Grundbuches bildet ( Art. 942 Abs. 2 ZGB ). In der Praxis kommt es durchaus vor, dass der Grundbucheintrag die Dienstbarkeit näher beschreibt (vgl. Beispiele in: BGE 123 III 462 ; BGE 113 II 507 ; BGE 86 II 245 ). Eine präzise Beschreibung ist indes selten, weil die Dienstbarkeit bei der Eintragung im Hauptbuchblatt nach den Vorgaben in der Grundbuchverordnung nur mit einem Stichwort bezeichnet wird (vgl. Art. 35 Abs. 2 lit. c der Verordnung vom 22. Februar 1910 betreffend das Grundbuch [GBV; SR 211.432.1]), das der Grundbuchverwalter festlegt ( Art. 35 Abs. 3 GBV ). Aus diesem Grund erscheinen funktionelle Beschränkungen einer Dienstbarkeit nur ausnahmsweise im Wortlaut des Grundbuches. Enthält der Grundbucheintrag lediglich ein Stichwort wie z.B. Quellen-, Weg- oder eben Grenzbaurecht, ist er in der Regel zu rudimentär, als dass sich Rechte und Pflichten aus ihm deutlich ergäben (LIVER, Zürcher Kommentar, N. 31 und 32 zu Art. 738 ZGB ; PETITPIERRE, Basler Kommentar, N. 3 zu Art. 738 ZGB ). b) Im vorliegenden Fall enthält das Interimsregister nur das Stichwort "Grenzbaurecht". Für die Bestimmung des Umfangs der Dienstbarkeit muss deshalb auf den Dienstbarkeitsvertrag zurückgegriffen werden, denn erst dieser gibt den nötigen Aufschluss über die Lage, das Ausmass und die Funktion der Grenzbaute. Der Vertragstext beantwortet all diese Fragen schlüssig: Für die Lage BGE 128 III 169 S. 173 und das Ausmass der Baute wird auf die zum Vertragsbestandteil erklärten Pläne verwiesen und die zulässige Nutzung ist detailliert beschrieben. Nach Auffassung der Beklagten bedeutet die Klausel, wonach auf der Terrasse der Kegelbahn nicht gewirtet werden darf, ein Wirteverbot, das ins Grundbuch hätte eingetragen werden müssen. Dieser Ansicht kann nicht gefolgt werden: Ein Wirteverbot im Rechtssinn stellt eine Gewerbebeschränkung dar, die selbstständig als Dienstbarkeit ins Grundbuch eingetragen werden kann (vgl. LIVER, a.a.O., N. 193 zu Art. 730 ZGB ). Als Dienstbarkeit lastet sie auf dem Grundstück als solchem mit der Folge, dass Wirten auf der betreffenden Parzelle ausgeschlossen oder im vereinbarten Umfang eingeschränkt ist. Demgegenüber geht es im vorliegenden Fall darum, dass auf der Terrasse des Kegelbahngebäudes, das auf Grund der Grenzdienstbarkeit errichtet worden ist, nicht gewirtet werden darf. Sollte die Grenzbaute einmal nicht mehr bestehen, wären die Beklagten im Unterschied zum eigentlichen Wirteverbot unter Vorbehalt der nachbarrechtlichen Bestimmungen frei, auf dem entsprechenden Teil ihrer Parzelle zu wirten. Der direkte Zusammenhang zwischen dem Verbot und der Grenzbaute zeigt sich weiter in folgender Hinsicht: Wie das Verbot, auf dem Kegelbahngebäude zu wirten, zeigt, sind die Parteien stillschweigend davon ausgegangen, dass in der Kegelbahn das Wirten erlaubt ist. Sie wollten jedoch die Konsumationsmöglichkeit auf das Innere der Grenzbaute beschränkt wissen. Vor diesem Hintergrund steht die Präzisierung bzw. Einschränkung des sich aus dem Grenzbaurecht für ein Kegelbahngebäude selbstredend ergebenden Bewirtungsrechts auf die fragliche Lokalität in unmittelbarem funktionellem Zusammenhang mit der Einräumung der Dienstbarkeit. Der Dienstbarkeitsvertrag enthält ausführliche Bestimmungen und legt im Anschluss an diese fest, das Rechtsverhältnis erhalte die Form einer Grunddienstbarkeit und sei im Grundbuch als "Grenzdienstbarkeit" einzutragen. Dies zeigt klar, dass die Parteien nicht eine nebensächliche Unterlassungspflicht zur eingeräumten Dienstbarkeit stipulieren, sondern deren Umfang festlegen wollten, und dass sie deshalb sämtliche Modalitäten als funktionelle Beschränkung der Grenzdienstbarkeit angesehen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