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146</w:t>
      </w:r>
    </w:p>
    <w:p>
      <w:r>
        <w:t>Bundesgericht (BGE), 2002-01-30, DE</w:t>
      </w:r>
    </w:p>
    <w:p>
      <w:r>
        <w:rPr>
          <w:b/>
        </w:rPr>
        <w:t xml:space="preserve">Quelle: </w:t>
      </w:r>
      <w:r>
        <w:t>https://mcp.opencaselaw.ch/entscheid/bge_BGE_128_III_146</w:t>
      </w:r>
    </w:p>
    <w:p>
      <w:r>
        <w:t>FR: ATF 128 III 146</w:t>
      </w:r>
    </w:p>
    <w:p>
      <w:r>
        <w:t>IT: DTF 128 III 146</w:t>
      </w:r>
    </w:p>
    <w:p>
      <w:pPr>
        <w:pStyle w:val="Heading2"/>
      </w:pPr>
      <w:r>
        <w:t>Regeste</w:t>
      </w:r>
    </w:p>
    <w:p>
      <w:r>
        <w:t>Regeste Art. 3 Abs. 1 und Art. 13 Abs. 2 lit. e MSchG, Art. 3 lit. d UWG. Gebrauch einer fremden Marke durch einen "nicht autorisierten" Händler bzw. Dienstleister in der Werbung für seine eigenen Angebote von Original-Markenprodukten und von Dienstleistungen an solchen. Der Gebrauch einer Drittmarke in der Werbung, insbesondere in einer Leuchtreklame eines Garagebetriebs, verletzt die Schutzrechte des Markeninhabers nicht, solange er klar auf die eigenen Angebote bzw. Leistungen des Werbenden bezogen bleibt. Die Befugnis zur Verwendung der Drittmarke findet ihre Grenze dort, wo beim Publikum der falsche (Gesamt)Eindruck einer besonderen Beziehung zwischen dem Werbenden und dem Markeninhaber oder einer Berechtigung des Werbenden an der Marke als solcher erweckt wird. Aus dem UWG und dem Firmenrecht ergeben sich keine weitergehenden Schutzansprüche zugunsten des Markeninhabers (E. 2).</w:t>
      </w:r>
    </w:p>
    <w:p>
      <w:r>
        <w:t>Regeste Art. 3 al. 1 et 13 al. 2 let. e LPM, art. 3 let. d LCD. Utilisation à des fins publicitaires d'une marque appartenant à autrui sans autorisation par un commerçant, respectivement un prestataire de services, pour promouvoir ses propres offres sur les produits munis de la marque originale et offrir des services s'y rapportant. L'utilisation à des fins publicitaires de la marque d'un tiers, en particulier sur une enseigne lumineuse d'un garage, ne viole pas les droits du titulaire de la marque, pour autant qu'elle reste clairement en rapport avec les propres offres ou prestations de celui qui fait la publicité. L'utilisation de la marque d'un tiers est admissible dans la mesure où il ne se crée pas, dans le public, une fausse impression (d'ensemble) d'un lien spécifique entre le titulaire de la marque et la personne qui fait de la publicité ou d'un droit de cette dernière sur la marque en tant que telle. Ni la LPM ni le droit des raisons de commerce n'offrent de protection plus étendue en faveur du titulaire de la marque (consid. 2).</w:t>
      </w:r>
    </w:p>
    <w:p>
      <w:r>
        <w:t>Regesto Art. 3 cpv. 1 e 13 cpv. 2 lett. e LPM, art. 3 lett. d LCSl. Uso del marchio altrui da parte di un commerciante, risp. un fornitore di servizi, "non autorizzato" per pubblicizzare le proprie offerte concernenti prodotti muniti del marchio originale e dei relativi servizi. L'uso del marchio di un terzo a scopi pubblicitari, in particolare sull'insegna luminosa di un garage, non viola i diritti del titolare del marchio, se risulta chiaramente ch-'esso si riferisce alle offerte e alle prestazioni proprie di colui che fa la pubblicità. La possibilità di utilizzare il marchio di un terzo sussiste sintantoché nel pubblico non viene generata l'impressione (globale) sbagliata di una relazione particolare fra il titolare del marchio e chi fa pubblicità oppure di un diritto di quest'ultimo sul marchio in quanto tale. Né la LCSl né le norme sulle ditte commerciali conferiscono al titolare di un marchio una protezione più estesa (consid. 2).</w:t>
      </w:r>
    </w:p>
    <w:p>
      <w:pPr>
        <w:pStyle w:val="Heading2"/>
      </w:pPr>
      <w:r>
        <w:t>Erwägungen</w:t>
      </w:r>
    </w:p>
    <w:p>
      <w:r>
        <w:rPr>
          <w:b/>
        </w:rPr>
        <w:t>E. 2</w:t>
      </w:r>
    </w:p>
    <w:p>
      <w:r>
        <w:t>Die Klägerinnen rügen, die Vorinstanz habe eine Verletzung ihrer Markenrechte sowie ein unlauteres Verhalten der Beklagten zu Unrecht verneint. Sie berufen sich auf Art. 3 des Bundesgesetzes vom 28. August 1992 über den Schutz von Marken und Herkunftsangaben (Markenschutzgesetz, MSchG; SR 232.11), auf Art. 3 lit. d des Bundesgesetzes vom 19. Dezember 1986 über den unlauteren Wettbewerb (UWG; SR 241) sowie insbesondere auf Art. 13 Abs. 2 lit. e MSchG . a) 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(unmittelbar) für jene halten, die mit den besser berechtigten Zeichen individualisiert werden. Ferner BGE 128 III 146 S. 149 können die schlechter berechtigten Zeichen eine mittelbare Verwechslungsgefahr schaffen, indem die Adressaten die Zeichen zwar auseinander zu halten vermögen, aber falsche Zusammenhänge vermuten ( BGE 127 III 160 E. 2a S. 165 f.). Eine Verwechslungsgefahr und damit auch eine Verletzung des Prioritätsrechts gemäss Art. 3 MSchG entfällt dagegen, wenn Kennzeichen der Individualisierung von Waren oder Dienstleistungen dienen, die vom Markenberechtigten oder mit seinem Einverständnis in Verkehr gebracht worden sind. Soweit die Kennzeichen Originalprodukte individualisieren, entfällt die Gefahr von Fehlzurechnungen von vornherein. Da die Beklagte im vorliegenden Fall unbestritten Waren zum Verkauf anbietet und für Reparaturen an Fahrzeugen wirbt, die mit dem Einverständnis der Klägerinnen als Originalmarkenprodukte in Verkehr gesetzt worden sind, besteht insofern keine Gefahr von Verwechslungen. Der Streit der Parteien dreht sich vielmehr um den Gebrauch der klägerischen Marken im Zusammenhang mit der Werbung für die eigene Geschäftstätigkeit der Beklagten, namentlich um die Leuchtreklame und die Anpreisung der Beklagten als "Spezialist". b) Nach Art. 13 Abs. 2 lit. e MSchG kann der Markeninhaber anderen verbieten, ein Zeichen zu gebrauchen, das nach Artikel 3 Abs. 1 vom Markenschutz ausgeschlossen ist, so insbesondere das Zeichen auf Geschäftspapieren, in der Werbung oder sonstwie im geschäftlichen Verkehr zu gebrauchen. aa) Verwendet ein Geschäftsinhaber die fremde Marke für sein Angebot an Original-Markenartikeln oder zur Werbung für Reparatur- und Servicearbeiten, die Originalmarkenartikel zum Gegenstand haben, so verletzt er das Markenrecht nicht, wenn seine Werbung sich deutlich auf seine eigenen Angebote bezieht. Angaben zur Beschreibung eigener Warenangebote oder Dienstleistungen darf vielmehr jedermann verwenden, auch wenn davon Marken Dritter berührt werden ( BGE 126 III 322 E. 3b S. 325 mit Hinweis; vgl. auch Urteil 4C.354/1999 vom 12. Januar 2000, publ. in: sic! 4/2000 S. 310 ff. als "Chanel IV", E. 2a und b). Diesen Grundsatz stellen die Klägerinnen zwar nicht ausdrücklich in Frage. Sie machen auch zu Recht nicht geltend, der Beklagten könne verwehrt werden, ihre Reparatur- und Serviceleistungen speziell für Fahrzeuge der klägerischen Marken zu erbringen und auch ihre Wiederverkaufstätigkeit besonders auf Gebrauchtwagen der klägerischen Marken auszurichten. Sie sehen indessen im Schutz des Werbeauftritts der Beklagten durch die Vorinstanz einen Widerspruch zum klaren BGE 128 III 146 S. 150 Wortlaut von Art. 13 Abs. 2 lit. e MSchG und vertreten die Ansicht, es werde damit eine neue Schranke des Markenrechts und eine Art unentgeltlicher Zwangslizenz eingeführt. bb) Die Marke dient der Individualisierung der Produkte eines Unternehmens und deren Abgrenzung gegenüber Konkurrenzprodukten. Allfällige weitere wirtschaftliche Funktionen wie Werbung, Profilierung oder Kommunikation der Markeninhaber im Wettbewerb geniessen keinen selbständigen Schutz ( BGE 122 III 469 E. 5f S. 479; Botschaft des Bundesrates vom 21. November 1990 zu einem Bundesgesetz über den Schutz von Marken und Herkunftsangaben, BBl 1991 I 19; MARBACH, Schweizerisches Immaterialgüter- und Wettbewerbsrecht, Bd. III, Kennzeichenrecht, S. 5 f.; vgl. auch DAVID, Basler Kommentar, Markenschutzgesetz, Muster- und Modellgesetz, 2. Aufl., N. 7 zu Art. 1 MSchG ). Die Markeninhaber können den Weiterverkäufern oder Dienstleistern ihrer Markenprodukte daher weder vorschreiben, wie sie mit diesen umzugehen haben noch welche Werbemassnahmen sie treffen dürfen (Urteil 4C.354/1999 vom 12. Januar 2000 ["Chanel IV"], a.a.O., E. 2b; MARBACH, a.a.O., S. 202; DAVID, a.a.O., N. 16 zu Art. 13 MSchG ). Allerdings bleibt den Markenberechtigten die allgemeine Bewerbung der Marke, die ohne Bezug auf ein bestimmtes Warensortiment oder konkrete Dienstleistungen dem Ansehen und dem Ruf der Marke beim Publikum im Allgemeinen gilt, vorbehalten ( BGE 126 III 322 E. 3a; Urteil 4C.354/1999 vom 12. Januar 2000 ["Chanel IV"], a.a.O., E. 2b; DAVID, a.a.O., N. 7 zu Art. 1, N. 23 zu Art. 13). Auch findet die Werbung mit einer Drittmarke ihre Grenze dort, wo beim Publikum der unzutreffende Eindruck einer besonderen Beziehung des mit der Marke werbenden Anbieters zum Markeninhaber erweckt wird. Eine derartige Täuschung der Adressaten ist unbesehen darum rechtswidrig, ob darin eine Berühmung an (der Nutzungsberechtigung) der Marke und damit ein Verstoss gegen den Markenschutz zu sehen wäre oder auch unter dem geltenden MSchG ein unlauteres Verhalten und damit ein Verstoss gegen das UWG vorliegt (vgl. BGE 104 II 58 E. 4 S. 60 f.; Urteil 4C.354/1999 vom 12. Januar 2000 ["Chanel IV"], a.a.O., E. 2c; DAVID, a.a.O., Vorbem. zum 1. Titel N. 3). cc) Die Vorinstanz hat diese Grundsätze bundesrechtskonform angewendet, indem sie davon ausging, dass der Gebrauch einer Drittmarke in der Werbung jedenfalls rechtmässig ist, solange er klar auf die eigenen Leistungen bezogen bleibt und das Publikum nicht über die Verhältnisse des Werbenden zum Markeninhaber getäuscht BGE 128 III 146 S. 151 wird. Diese Abwägung der Interessen der Markenrechtsinhaber einerseits und nicht am Kennzeichen berechtigter Wettbewerber mit Originalmarkenprodukten anderseits entspricht im Ergebnis derjenigen des Europäischen Gerichtshofs in Auslegung des einschlägigen Rechts der EU (vgl. dessen Urteil vom 23. Februar 1999 i.S. BMW c. Deenik, Rs. C-63/97, auszugsweise publ. in: sic! 2/1999 S. 183). c) Ob die Adressaten bestimmte Anpreisungen auf die konkrete Geschäftstätigkeit für mit Drittmarken gekennzeichnete Originalprodukte beziehen oder ob sie diese der Marke als solcher bzw. dem Markeninhaber zurechnen, beurteilt sich nach dem Gesamteindruck, den sie beim Publikum erwecken (Urteil 4C.354/1999 vom 12. Januar 2000 ["Chanel IV"], a.a.O., E. 2d). Die Vorinstanz hat in dieser Hinsicht zutreffend geprüft, wie das Publikum die Werbung der Beklagten versteht. aa) Die umstrittene Leuchtreklame ist nach den Feststellungen der Vorinstanz augenfällig auf dem Dach des Garagenbetriebs der Beklagten montiert und hat die Form eines hochgestellten Rechtecks. Auf dem hellen Hintergrund der Reklamefläche sind drei gleich grosse, farbige, abgerundete Rechtecke parallel übereinander angeordnet. Das obere Rechteck ist dunkelblau gehalten und trägt in gleicher Farbe weissumrandet das Zeichen "VW", das mittlere Rechteck ist rot und enthält in gleichfarbiger, weissumrandeter Schrift das Zeichen "Audi" und das untere Rechteck ist hellblau und trägt den gelben Schriftzug "Spezialist". Die Klägerinnen beanstanden insofern die Sachverhaltsfeststellungen der Vorinstanz nicht. bb) Die Beklagte bietet ihre Dienste besonders für Fahrzeuge der klägerischen Marken an, weshalb ihr erlaubt sein muss, zu diesem Zweck die klägerischen Zeichen zu gebrauchen. Die Vorinstanz hat festgestellt, dass das Anbringen einer Leuchtreklame auf dem Garagendach dem branchenüblichen Werbeverhalten entspricht und von den Adressaten als Hinweis auf den Garagenbetrieb und dessen Leistungen - nicht darüber hinaus als Bewerbung der Marken - verstanden wird, zumal die Beklagte das Logo der klägerischen Zeichen nicht gebraucht. Das verwendete Schriftbild kann nach den Feststellungen der Vorinstanz als nüchtern bezeichnet werden und grenzt sich sowohl von der prägnanten "Audi"-Schreibweise wie von den übereinander stehenden Buchstaben "V" und "W" ab. Ob diese Abgrenzung zur Klarstellung des Gegenstands der Werbung erforderlich ist oder der Bezug ausschliesslich auf die Tätigkeit der Beklagten auch auf andere Weise klar herausgehoben werden BGE 128 III 146 S. 152 könnte, sei dahingestellt. Die klägerischen Marken werden jedenfalls in der Weise gebraucht, dass die Adressaten diese Werbung als Anpreisung des eigenen Angebots der Beklagten verstehen. Der Eindruck einer nicht (mehr) vorhandenen Vertragsbeziehung zwischen dieser und den Markeninhaberinnen wird nicht erweckt. Insbesondere weist der Ausdruck "Spezialist" nicht auf eine besondere Vertragsbeziehung zu den Klägerinnen als Markenberechtigte hin. Die Klägerinnen bringen denn auch für ein derartiges Verständnis des Publikums nichts vor. cc) Aufgrund der Feststellungen der Vorinstanz kann nicht angenommen werden, die Beklagte habe den Eindruck erweckt, sie würde statt für ihre eigene Geschäftstätigkeit für die Marken der Klägerinnen werben oder täusche das Publikum über ein nicht vorhandenes Verhältnis zu den Klägerinnen als Markeninhaberinnen. Die Vorinstanz hat eine Täuschung der Adressaten über den Gegenstand der Werbung bundesrechtskonform verneint. Inwiefern im Übrigen für die vorliegend umstrittenen Fragen das Firmenrecht den Klägerinnen gegenüber der Beklagten mehr Rechte verschaffen sollte als Markenrecht und UWG, ist nicht ersichtlich und lässt sich der Berufung der Klägerinnen nicht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