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121</w:t>
      </w:r>
    </w:p>
    <w:p>
      <w:r>
        <w:t>Bundesgericht (BGE), 2002-01-10, DE</w:t>
      </w:r>
    </w:p>
    <w:p>
      <w:r>
        <w:rPr>
          <w:b/>
        </w:rPr>
        <w:t xml:space="preserve">Quelle: </w:t>
      </w:r>
      <w:r>
        <w:t>https://mcp.opencaselaw.ch/entscheid/bge_BGE_128_III_121</w:t>
      </w:r>
    </w:p>
    <w:p>
      <w:r>
        <w:t>FR: ATF 128 III 121</w:t>
      </w:r>
    </w:p>
    <w:p>
      <w:r>
        <w:t>IT: DTF 128 III 121</w:t>
      </w:r>
    </w:p>
    <w:p>
      <w:pPr>
        <w:pStyle w:val="Heading2"/>
      </w:pPr>
      <w:r>
        <w:t>Regeste</w:t>
      </w:r>
    </w:p>
    <w:p>
      <w:r>
        <w:t>Regeste Beginn der nachehelichen Unterhaltspflicht im Fall der Teilrechtskraft der Scheidung (Art. 126 Abs. 1 ZGB). Ist der Scheidungspunkt gemäss Art. 148 Abs. 1 ZGB in Rechtskraft erwachsen, steht es dem Sachgericht im Rahmen des pflichtgemässen Ermessens frei, hinsichtlich des Beginns der nachehelichen Unterhaltspflicht an den Zeitpunkt der Teilrechtskraft anzuknüpfen. Dies gilt auch dann, wenn der Massnahmerichter für die Dauer des Verfahrens einen Unterhaltsanspruch festgelegt hat und dieser über den Zeitpunkt der Teilrechtskraft hinausgeht (E.3).</w:t>
      </w:r>
    </w:p>
    <w:p>
      <w:r>
        <w:t>Regeste Début de l'obligation d'entretien après divorce en cas d'entrée en force partielle de celui-ci (art. 126 al. 1 CC). Lorsque la dissolution du mariage est entrée en force selon l'art. 148 al. 1 CC, le juge du fond peut, selon son appréciation, fixer le début de l'obligation d'entretien après divorce au moment de l'entrée en force partielle. Cela vaut aussi quand le juge des mesures provisoires a déterminé un droit à une contribution d'entretien qui va au-delà de l'entrée en force partielle (consid. 3).</w:t>
      </w:r>
    </w:p>
    <w:p>
      <w:r>
        <w:t>Regesto Inizio dell'obbligo di mantenimento dopo il divorzio nel caso di crescita in giudicato parziale della sentenza (art. 126 cpv. 1 CC). Quando lo scioglimento del matrimonio è cresciuto in giudicato secondo l'art. 148 cpv. 1 CC, il giudice del merito è libero, nell'ambito del suo potere di apprezzamento, di fissare l'inizio dell'obbligo di mantenimento dopo il divorzio al momento della crescita in giudicato parziale. Ciò vale anche se il giudice delle misure provvisionali ha stabilito un diritto a un contributo di mantenimento che si estende oltre il termine di crescita in giudicato parziale (consid. 3).</w:t>
      </w:r>
    </w:p>
    <w:p>
      <w:pPr>
        <w:pStyle w:val="Heading2"/>
      </w:pPr>
      <w:r>
        <w:t>Erwägungen</w:t>
      </w:r>
    </w:p>
    <w:p>
      <w:r>
        <w:rPr>
          <w:b/>
        </w:rPr>
        <w:t>E. 3</w:t>
      </w:r>
    </w:p>
    <w:p>
      <w:r>
        <w:t>Der Appellationshof hat festgestellt, dass das erstinstanzliche Urteil vom Februar 2001 im Scheidungspunkt in Rechtskraft erwachsen ist, und hat den Beginn der nachehelichen Unterhaltspflicht auf März 2001 angesetzt. Der Beklagte wendet ein, diese rückwirkende Verpflichtung verstosse gegen Bundesrecht. Die Parteien hätten 1996 eine Trennungsvereinbarung getroffen, welche für die Zeit des Getrenntlebens einen monatlichen Unterhaltsbeitrag von Fr. 2'000.- vorsehe. Der dort festgelegte Betrag gelte bis zur Rechtskraft des Scheidungsurteils, in welchem der nacheheliche Unterhalt bestimmt werde. Die nacheheliche Unterhaltspflicht beginne deshalb erst ab Datum des bundesgerichtlichen Urteils zu laufen. a) Wurde das Scheidungsurteil unter dem alten Scheidungsrecht weitergezogen und wurden dabei nur die Nebenfolgen, nicht aber der Scheidungspunkt selber angefochten, so hing es vom jeweiligen kantonalen Prozessrecht ab, ob der Scheidungspunkt bereits in Rechtskraft erwuchs, oder ob die Rechtskraft bis zum Zeitpunkt hinausgeschoben wurde, in dem über sämtliche Folgen definitiv entschieden war ( BGE 84 II 466 E. 1 S. 467). Seit 1. Januar 2000 gilt die Teilrechtskraft von Bundesrecht wegen ( Art. 148 Abs. 1 ZGB ; AS 1999 1118 S. 1144). b) aa) War der Scheidungspunkt in Rechtskraft erwachsen, so konnte unter altem Scheidungsrecht das Sachgericht im späteren Rentenurteil - im Rahmen des pflichtgemässen Ermessens - frei bestimmen, ob die Unterhaltspflicht erst mit Rechtskraft desselben oder rückwirkend ab Eintritt der Teilrechtskraft beginne. Zwar erachtete das Bundesgericht den Beginn der Unterhaltsverpflichtung mit der Rechtskraft des letztinstanzlichen Rentenurteils als die Regel, doch hielt es auch den rückwirkenden Beginn als mit dem Bundesrecht vereinbar ( BGE 109 II 87 E. 4b S. 92; SPÜHLER/FREI-MAURER, Berner Kommentar, N. 54 zu Art. 151 ZGB ). bb) Gemäss Art. 126 ZGB , in Kraft seit dem 1. Januar 2000, bestimmt das Gericht den Beginn der nachehelichen Beitragspflicht. BGE 128 III 121 S. 123 Mit der ausdrücklichen Normierung dieser Befugnis wollte der Gesetzgeber keine Änderung gegenüber dem bisherigen Recht bewirken. Sinn und Zweck von Art. 126 ZGB ist es, dem Gericht im Hinblick auf eine möglichst grosse Einzelfallgerechtigkeit bezüglich der Modalitäten des Unterhaltsbeitrags einen breiten Spielraum einzuräumen. Der Beginn der Unterhaltspflicht mit dem Eintritt der formellen Rechtskraft des Scheidungsurteils ist nach wie vor die Regel, doch weist die neue Bestimmung das Gericht nun auch auf die verschiedenen Möglichkeiten im Zusammenhang mit der Festlegung der Unterhaltspflicht - etwa die Anknüpfung an eine Bedingung oder an eine aufschiebende Befristung - hin (SCHWENZER, in: Praxiskommentar Scheidungsrecht, 2000, N. 1 und 10 zu Art. 126 ZGB ; SUTTER/FREIBURGHAUS, Kommentar zum neuen Scheidungsrecht, 1999, N. 12 zu Art. 126 ZGB ; Botschaft über die Änderung des Schweizerischen Zivilgesetzbuches vom 15. November 1995, BBl 1996 I 1 [Botschaft], S. 117). Dass der Gesetzgeber den Spielraum des Sachgerichts im Hinblick auf den Beginn der Unterhaltspflicht im Allgemeinen und im Zusammenhang mit der Teilrechtskraft im Besonderen einschränken wollte, ist nicht anzunehmen. Es ist vielmehr davon auszugehen, dass es dem Sachgericht auch heute - im Rahmen des pflichtgemässen Ermessens - frei steht, dem Pflichtigen rückwirkend auf den Zeitpunkt des Eintritts der Teilrechtskraft eine nacheheliche Unterhaltspflicht aufzuerlegen. c) aa) Dies gilt unabhängig von der Frage, ob für die Zeit nach Eintritt der Teilrechtskraft schon gestützt auf einen Massnahmeentscheid eine Unterhaltspflicht besteht. Das Bundesgericht hat darauf unter der Geltung des alten Scheidungsrechts ausdrücklich hingewiesen ( BGE 109 II 87 E. 4b S. 92). bb) Daran ändert auch nichts, dass das heutige Recht die Fortdauer der vorsorglichen Massnahmen über den Zeitpunkt der Teilrechtskraft im Gegensatz zu früher ausdrücklich vorsieht ( Art. 137 Abs. 2 ZGB ; LEUENBERGER, in: Praxiskommentar Scheidungsrecht, 2000, N. 12 zu Art. 137 ZGB ; SUTTER/FREIBURGHAUS, a.a.O., N. 44 zu Art. 137 ZGB ), und dass zu viel bezahlter vorsorglicher Unterhalt nach geltendem Recht nicht mehr zurückbezahlt werden muss (AB 1996 S 766: Votum von Ständerätin Beerli). Massgeblich ist, dass Unterhaltsbeiträge, welche der Pflichtige aufgrund eines Massnahmeentscheids bezahlt hat, nach wie vor auf den im Rentenurteil festgelegten Unterhalt angerechnet werden können (zur Anrechenbarkeit unter dem alten Scheidungsrecht: VOGEL, in: ZBJV 123/1987 S. 267 ff.). BGE 128 III 121 S. 124 d) aa)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123 III 274 E. 1a/cc mit Hinweisen). bb) Vorliegend hat der Appellationshof den Beginn der nachehelichen Unterhaltspflicht an den Zeitpunkt des Eintritts der Teilrechtskraft geknüpft. Dass er dabei einen Ermessensfehler begangen hätte, aufgrund dessen das Bundesgericht seinen Entscheid aufheben müsste, ist weder behauptet noch dargetan. Eine Verletzung des Bundesrechts liegt demnach auch in diesem Punkt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