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113</w:t>
      </w:r>
    </w:p>
    <w:p>
      <w:r>
        <w:t>Bundesgericht (BGE), 2001-12-06, DE</w:t>
      </w:r>
    </w:p>
    <w:p>
      <w:r>
        <w:rPr>
          <w:b/>
        </w:rPr>
        <w:t xml:space="preserve">Quelle: </w:t>
      </w:r>
      <w:r>
        <w:t>https://mcp.opencaselaw.ch/entscheid/bge_BGE_128_III_113</w:t>
      </w:r>
    </w:p>
    <w:p>
      <w:r>
        <w:t>FR: ATF 128 III 113</w:t>
      </w:r>
    </w:p>
    <w:p>
      <w:r>
        <w:t>IT: DTF 128 III 113</w:t>
      </w:r>
    </w:p>
    <w:p>
      <w:pPr>
        <w:pStyle w:val="Heading2"/>
      </w:pPr>
      <w:r>
        <w:t>Regeste</w:t>
      </w:r>
    </w:p>
    <w:p>
      <w:r>
        <w:t>Regeste Eheverbot zwischen Stiefelter und Stiefkind (Art. 95 Abs. 1 Ziff. 2 ZGB, Art. 12 EMRK). Das Eheverbot zwischen Stiefelter und Stiefkind, das in seiner heutigen Fassung gemäss Art. 95 Abs. 1 Ziff. 2 ZGB am 1. Januar 2000 in Kraft getreten ist, lässt nach dem Willen des Gesetzgebers die Eheschliessung auch dann nicht zu, wenn aus der Beziehung zwischen Stiefelter und Stiefkind Kinder hervorgegangen sind (E. 2). Das Verbot der Eheschliessung zwischen Stiefelter und Stiefkind ist mit Art. 12 EMRK vereinbar (E. 3-5).</w:t>
      </w:r>
    </w:p>
    <w:p>
      <w:r>
        <w:t>Regeste Prohibition du mariage avec l'enfant de son conjoint (art. 95 al. 1 ch. 2 CC, art. 12 CEDH). Selon la volonté du législateur, la prohibition du mariage entre une personne et l'enfant de son conjoint, actuellement prévue par l'art. 95 al. 1 ch. 2 CC entré en vigueur le 1er janvier 2000, prévaut même lorsque des enfants sont issus de cette relation (consid. 2). La prohibition du mariage avec l'enfant de son conjoint est conforme à l'art. 12 CEDH (consid. 3-5).</w:t>
      </w:r>
    </w:p>
    <w:p>
      <w:r>
        <w:t>Regesto Impedimento di contrarre matrimonio tra patrigno e figliastra (art. 95 cpv. 1 cf. 2 CC, art. 12 CEDU). Secondo la volontà del legislatore, l'impedimento di contrarre matrimonio tra patrigno o matrigna e i rispettivi figliastri, previsto attualmente all'art. 95 cpv. 1 cf. 2 CC entrato in vigore il 1o gennaio 2000, sussiste anche qualora dalla relazione tra patrigno e figliastra siano nati dei figli (consid. 2). La proibizione di contrarre matrimonio con i figliastri è conforme all'art. 12 CEDU (consid. 3-5).</w:t>
      </w:r>
    </w:p>
    <w:p>
      <w:pPr>
        <w:pStyle w:val="Heading2"/>
      </w:pPr>
      <w:r>
        <w:t>Erwägungen</w:t>
      </w:r>
    </w:p>
    <w:p>
      <w:r>
        <w:rPr>
          <w:b/>
        </w:rPr>
        <w:t>E. 2</w:t>
      </w:r>
    </w:p>
    <w:p>
      <w:r>
        <w:t>Das Kantonsgericht hat die Abweisung des Gesuchs der Beschwerdeführenden um Vorbereitung der Eheschliessung gestützt auf das Eheverbot gemäss Art. 95 Abs. 1 Ziff. 2 ZGB bestätigt. Nach Ansicht der Beschwerdeführenden ist ihnen die Eheschliessung gleichwohl zu erlauben. Die Gesetzesbestimmung erscheine zwar auf den ersten Blick klar. Bei genauerer Prüfung sei jedoch unschwer zu erkennen, dass hier eine gesetzliche Lücke vorliege. Der Gesetzgeber habe den Fall übersehen, in welchem die Heiratswilligen wie hier gemeinsame Kinder gezeugt und eine Familie gegründet haben. Für diesen Fall müsse das Gesetz Ausnahmen zulassen. a) Der Inhalt einer Norm ist ausgehend von ihrem Wortlaut nach ihrem Sinn und Zweck und den ihr zugrunde liegenden Wertungen zu ermitteln. Ziel der Auslegung ist die sachlich richtige Entscheidung im normativen Gefüge, ausgerichtet auf ein befriedigendes Ergebnis aus der ratio legis. Erweist sich die gesetzliche Anordnung als zu undifferenziert und verlangt der Zweck der Norm für den in Frage stehenden Fall nach einer Ausnahme, kann das Gericht die Norm mittels teleologischer Reduktion für einen Fall als nicht anwendbar erklären, der gemäss dem noch möglichen Wortsinn in den Anwendungsbereich der Norm fällt. Das Gericht bleibt dabei aber an die klare Zwecksetzung der bestehenden Regelung gebunden BGE 128 III 113 S. 115 ( BGE 121 III 219 E. 1d/aa S. 224 ff.; BGE 124 III 229 E. 3c S. 235 f.; BGE 127 III 415 E. 2 mit Hinweisen; KRAMER, Juristische Methodenlehre, 1998, S. 161 f. und 169 f.). b) Gemäss dem Wortlaut von Art. 95 Abs. 1 ZGB ist die Eheschliessung einerseits verboten zwischen Verwandten in gerader Linie sowie zwischen Geschwistern oder Halbgeschwistern, und zwar unabhängig davon, ob sie miteinander durch Abstammung oder durch Adoption verwandt sind. Andererseits ist sie untersagt zwischen Stiefeltern und Stiefkindern. Die Bestimmung ist am 1. Januar 2000 in Kraft getreten (AS 1999 S. 1144). Bis dahin umfasste das Eheverbot bezüglich Verwandtschaft auch die Beziehungen zwischen Onkel und Nichte sowie Tante und Neffe; es betraf überdies alle Schwägerschaftsverhältnisse ersten Grades und nicht nur jenes zwischen Stiefeltern und Stiefkind. Mit der am 26. Juni 1998 verabschiedeten Revision schränkte das Parlament die Ehehindernisse erheblich ein und entsprach damit der allgemeinen europäischen Tendenz (Botschaft über die Änderung des Zivilgesetzbuches vom 15. November 1995, BBl 1996 I 1, S. 63 [in der Folge: Botschaft]). c) Die teilweise Aufhebung des Ehehindernisses der Schwägerschaft wurde damit begründet, dass es hier - im Gegensatz zum Ehehindernis der Blutsverwandtschaft - an einer eugenischen Rechtfertigung fehle. Wohl aufgrund der Tatsache, dass heute nur noch wenige Menschen in der Schweiz in Grossfamilien leben, vermochte in den Augen des Parlaments auch der zu wahrende Familienfriede das Eheverbot zwischen Verschwägerten nicht mehr generell zu rechtfertigen (Botschaft, S. 63). Demgegenüber hielt der Gesetzgeber bewusst am Eheverbot für Stiefkindverhältnisse fest. Zwar fehlt auch hier eine eugenische Rechtfertigung, doch wurde das Eheverbot aufgrund der Überlegung beibehalten, dass diese Beziehung einer leiblichen Eltern-Kind-Beziehung weitgehend nachgebildet ist. Die unterschiedliche Behandlung der Schwägerschaft im Allgemeinen und der Stiefverhältnisse im Besonderen wurde damit gerechtfertigt, dass sich die Integration des Stiefkindes in die neue Familie nicht mit derjenigen eines Schwiegerkindes in den Kreis der Schwägerfamilie vergleichen lasse. Dabei erwog der Gesetzgeber eine Einschränkung des Verbots auf Fälle, in denen das Stiefkindverhältnis während dessen Minderjährigkeit begründet worden ist, verwarf sie jedoch, da er in Anbetracht der Herabsetzung der Mündigkeit auf 18 Jahre mit einer Zunahme der Haushalte rechnete, in denen heiratsfähige Stiefkinder und Stiefeltern zusammenleben (Botschaft, S. 63 f.). BGE 128 III 113 S. 116 d) Aus dem Umstand, dass diese Einschränkung verworfen wurde, kann geschlossen werden, dass das Eheverbot nach dem Willen des Gesetzgebers in Stiefverhältnissen absolut gilt, dass der Gesetzgeber also auch einen Ausschluss der Fälle, in denen aus der Beziehung zwischen Stiefelter und Stiefkind Kinder hervorgehen, abgelehnt hat. Ratio legis ist die Wahrung des Friedens in der - das Stiefverhältnis begründenden - Familie. Im Hinblick auf das zu schützende Rechtsgut macht es keinen sachlich relevanten Unterschied, ob der Beziehung zwischen Stiefelter und Stiefkind Kinder entspringen oder nicht. Käme das Eheverbot im einen Fall zur Anwendung und im anderen nicht, so läge darin eine rechtsungleiche Behandlung. Daraus folgt, dass keine Ausnahmelücke vorliegt, dass das geltende Bundeszivilrecht eine Eheschliessung im vorliegenden Fall also nicht zulässt.</w:t>
      </w:r>
    </w:p>
    <w:p>
      <w:r>
        <w:rPr>
          <w:b/>
        </w:rPr>
        <w:t>E. 3</w:t>
      </w:r>
    </w:p>
    <w:p>
      <w:r>
        <w:t>Die Beschwerdeführenden bringen des Weiteren vor, das Eheverbot verletze ihr durch Art. 12 EMRK (SR 0.101) garantiertes Recht auf Eheschliessung und Familie. a) Der Prüfung einer eidgenössischen Gesetzesbestimmung auf ihre Vereinbarkeit mit der Europäischen Menschenrechtskonvention steht nach der ständigen Rechtsprechung des Bundesgerichts nichts entgegen ( BGE 117 Ib 367 E. 2d f.; BGE 118 Ia 473 E. 5b/bb; BGE 118 Ib 277 E. 3b; BGE 122 II 485 E. 3; BGE 125 II 417 E. 4d S. 225). b) Gemäss Art. 12 EMRK haben Männer und Frauen mit Erreichung des heiratsfähigen Alters gemäss den einschlägigen nationalen Gesetzen das Recht, eine Ehe einzugehen und eine Familie zu gründen. Der Hinweis auf die einschlägigen nationalen Gesetze macht deutlich, dass das Grundrecht nicht schrankenlos ist. Umgekehrt dürfen die Nationen das Recht gesetzlich auch nicht beliebig einschränken. Obwohl Art. 12 EMRK im Gegensatz zu Art. 8 EMRK die Voraussetzungen einer gerechtfertigten Beschränkung nicht nennt, ist nach der Rechtsprechung des Europäischen Gerichtshofs für Menschenrechte und nach der Lehre ein Grundrechtseingriff lediglich zulässig, wenn er den Kerngehalt des Rechts nicht berührt (Urteil des Europäischen Gerichtshofs für Menschenrechte [EGMR] i.S. Rees c. Grossbritannien vom 17. Oktober 1986, Serie A, Bd. 106, Ziff. 50) und sich die gesetzliche Grundlage auf allgemein anerkannte Gründe des öffentlichen Interesses stützt. Nationale Eheverbote müssen somit rational begründbar sein (FROWEIN/PEUKERT, Europäische Menschenrechtskonvention, 2. Aufl. 1996, N. 2 zu Art. 12 EMRK ). Aus dem Prinzip der Verhältnismässigkeit ergibt sich zudem, dass das öffentliche Interesse am Verbot gegenüber dem BGE 128 III 113 S. 117 Interesse an der Eheschliessung nicht klar unterlegen sein darf (HAEFLIGER/SCHÜRMANN, Die Europäische Menschenrechtskonvention und die Schweiz, 2. Aufl. 1999, S. 319). c) Die Voraussetzungen der Wahrung des Kerngehalts sowie der gesetzlichen Grundlage sind vorliegend offensichtlich erfüllt. Zu prüfen ist, ob sich das für Stiefverhältnisse statuierte Eheverbot auf allgemein anerkannte Gründe des öffentlichen Interesses stützt und ob dieses das Interesse der Beschwerdeführenden an der Eheschliessung überwiegt.</w:t>
      </w:r>
    </w:p>
    <w:p>
      <w:r>
        <w:rPr>
          <w:b/>
        </w:rPr>
        <w:t>E. 4</w:t>
      </w:r>
    </w:p>
    <w:p>
      <w:r>
        <w:t>a) Bei der Beibehaltung des Eheverbots für Stiefverhältnisse stand die Wahrung des Familienfriedens im Vordergrund. Zwar hat die Familie viele ihrer früheren Funktionen verloren: so stellt sie heute kaum mehr eine Produktionsgemeinschaft dar, die Wissensvermittlung und die Berufsvorbereitung beim heranwachsenden Kind sind ihr weitgehend entzogen, und auch die Aufgabe, für kranke, schwache oder alte Familienmitglieder zu sorgen, hat sie teilweise an andere Institutionen abgetreten. Als ein Bezirk besonders enger emotionaler Bindungen fallen ihr heute jedoch vornehmlich die folgenden zwei Aufgaben zu: die primäre Sozialisation des Kindes und die gewissermassen private Verarbeitung von Konflikten, die im gesellschaftlichen Bereich, besonders im Beruf, auftreten (STRATENWERTH, Inzest und Strafrecht, in: Familienrecht im Wandel, 1976, S. 301 ff., S. 311). Angesichts dieser Funktionen ist die Stabilität der Familie möglichst zu wahren. Eine Geschlechtsverbindung zwischen Stiefelter und Stiefkind würde nicht nur die Ehe, auf der die Stieffamilie gründet, destabilisieren, sondern auch die weiteren Beziehungen unter den Familienmitgliedern - etwa zwischen leiblichem Elternteil und Kind sowie zwischen Geschwistern - erheblich gefährden (HÜRLIMANN, Die Eheschliessungsverbote zwischen Verwandten und Verschwägerten, Diss. Bern 1987, S. 147 und S. 151). b) Von erheblicher Bedeutung ist ferner der Schutz der freien Entfaltung und der sexuellen Integrität des Stiefkindes: Die Familie bildet nach wie vor regelmässig den engsten ursprünglichsten Rahmen des Zusammenlebens, der Rahmen, in dem Kinder ihr Leben beginnen und heranwachsen. Sie soll deshalb von sexuellen Beziehungen und erotischen Spannungen freigehalten werden. Entsprechend steht die Verletzung der sexuellen Integrität des Abhängigen unter Strafe ( Art. 188 StGB ; STRATENWERTH, a.a.O., S. 311). Zivilrechtlich findet das Stiefverhältnis Ausdruck in der subsidiären elterlichen Sorge des Stiefelters: Gemäss Art. 299 ZGB hat er BGE 128 III 113 S. 118 seinem Ehegatten in der Ausübung der elterlichen Sorge gegenüber dessen Kindern in angemessener Weise beizustehen und ihn zu vertreten, wenn es die Umstände erfordern. Damit befindet sich der Stiefelternteil regelmässig in einer Autoritätsstellung und das Stiefkind in einem Abhängigkeitsverhältnis. Es gilt demnach zu verhindern, dass dieses faktische Eltern-Kind-Verhältnis nahtlos in ein Paarverhältnis übergeht (HEGNAUER/BREITSCHMID, Grundriss des Eherechts, 4. Aufl. 2000, Rz. 4.13; KARLHEINZ MUSCHELER, Der Entwurf eines Gesetzes zur Neuordnung des Eheschliessungsrechts, in: Juristenzeitung [JZ] 1997 S. 1142, S. 1145). c) Der Umstand, dass das schweizerische Parlament anlässlich der mit Bundesgesetz vom 26. Juni 1998 verabschiedeten Revision des Zivilgesetzbuches zwar weitergehende Eheverbote abgeschafft, am Eheverbot für Stiefverhältnisse aber ohne jede Diskussion festgehalten hat, deutet daraufhin, dass das Verbot und die dafür genannten Gründe in der Schweiz nach wie vor allgemein anerkannt sind (AB 1996 S 750 f., 1997 N 2670). Seine Geltung wird denn auch in der schweizerischen Lehre - zumindest für die Fälle, in welchen das Stiefkindverhältnis während der Unmündigkeit begründet wurde - nicht in Frage gestellt (HEUSSLER, Basler Kommentar, 1996, N. 7 zu aArt. 100 ZGB; HEGNAUER/BREITSCHMID, a.a.O., Rz. 4.13; WERRO, Concubinage, mariage et démariage, 2000, N. 284 ff.). d) Die Ehe zwischen Stiefelter und Stiefkind ist im Übrigen auch in zahlreichen anderen europäischen Ländern verboten, nämlich in Belgien, Finnland, Frankreich, Griechenland, Grossbritannien, Italien, Luxemburg, Polen, Portugal, Serbien, der Türkei und Ungarn. Zwar sieht die Mehrheit dieser Länder die Möglichkeit eines Dispenses vor, doch wird dieser lediglich unter einschränkenden Voraussetzungen erteilt. So sind beispielsweise in Grossbritannien Schwäger- und Stiefverhältnisse grundsätzlich einem Dispens zugänglich, davon ausgenommen sind aber die Fälle, in welchen das Stiefkind - wie bei den Beschwerdeführenden - vor Erreichen seines achtzehnten Lebensjahres mit dem Stiefelter in häuslicher Gemeinschaft gelebt hat. Kein Eheverbot für Stiefverhältnisse kennen demgegenüber beispielsweise Deutschland, die Niederlande, Norwegen, Österreich, das Fürstentum Liechtenstein, Schweden und Spanien (BERGMANN/FERID, Internationales Ehe- und Kindschaftsrecht: Belgien, 138. Lieferung, S. 51, Art. 161 ff.; Deutschland, 137. Lieferung, S. 49, §§ 1306 ff.; Finnland, 103. Lieferung, S. 22; Frankreich, 122. Lieferung, S. 68 f., Art. 161 ff.; Griechenland, 82. Lieferung, S. 17, Art. 1357; Grossbritannien, 113. Lieferung, BGE 128 III 113 S. 119 S. 171, Art. 1 ff.; Italien, 142. Lieferung, S. 54 f., Art. 87; Fürstentum Liechtenstein, 118. Lieferung, S. 47, Art. 12 ff.; Luxemburg, 109. Lieferung, S. 53, Art. 161 ff.; Niederlande, 123. Lieferung, S. 63 f. Fn. 33; Norwegen, 138. Lieferung, §§ 3 f.; Österreich, 116. Lieferung, S. 141, Art. 4 ff.; Polen, 139. Lieferung, S. 40, Art. 14 § 1; Portugal, 132. Lieferung, S. 49, Art. 1602 lit. c; Schweden, 110. Lieferung, S. 22c, §§ 1 ff.; Spanien, 132. Lieferung, Art. 44 ff.; Türkei, 123. Lieferung, S. 24, Art. 92 Ziff. 2; Ungarn, 143. Lieferung, S. 37, § 8 Abs. 1 lit. d). e) Indem die Ehe zwischen Stiefelter und Stiefkind dauernd ausgeschlossen ist, wird das Verhältnis zwischen ihnen ganz auf die Ebene der familiären Beziehung gestellt und jeder Zweideutigkeit enthoben. Auf diesem Weg trägt das Eheverbot zur Aufrechterhaltung intakter Familienbeziehungen bei: Es ermöglicht dem Stiefkind, im Verhältnis zum Stiefelter Zuneigung und Identifikation zu entwickeln, ohne dass es Gefahr läuft, sexuell ausgebeutet zu werden (WERRO, a.a.O., S. 855; HEGNAUER, "Soll das Ehehindernis der Schwägerschaft beibehalten werden?, in: ZZW 1993 S. 86). Entgegen der Auffassung der Beschwerdeführenden kann auch der Umstand, dass sich in Einzelfällen wie dem vorliegenden dennoch eine sexuelle Beziehung entwickelt, nichts daran ändern, dass das Verbot sachlich gerechtfertigt ist.</w:t>
      </w:r>
    </w:p>
    <w:p>
      <w:r>
        <w:rPr>
          <w:b/>
        </w:rPr>
        <w:t>E. 5</w:t>
      </w:r>
    </w:p>
    <w:p>
      <w:r>
        <w:t>Die Zulässigkeit eines Grundrechtseingriffs setzt ferner voraus, dass der angestrebte Zweck im konkreten Fall in einem vernünftigen Verhältnis zu den zu seiner Erreichung notwendigen Grundrechtsbeschränkungen steht ( BGE 117 Ia 472 E. 3g mit Hinweisen). a) aa) Wird das Gesuch der Beschwerdeführenden abgewiesen, so können sie nicht heiraten. Sie werden ihre Beziehung voraussichtlich für deren ganze Dauer in der Form eines Konkubinats fortführen müssen. Dabei ist allerdings zu berücksichtigen, dass das Konkubinat heute in unserer Gesellschaft eine weit verbreitete Form des Zusammenlebens darstellt, welche die Beschwerdeführenden schon seit Jahren freiwillig praktizieren. Rechtlich ist das Konkubinat der Ehe nur in einzelnen Bereichen gleichgestellt. Dies wirkt sich aber nicht in jedem Fall zum Nachteil der Konkubinatspartner aus (WERRO, a.a.O., N. 115 ff. und beispielsweise N. 139). Im Übrigen besteht teilweise die Möglichkeit, die Rechtsverhältnisse im Konkubinat durch Vereinbarungen jenen in der Ehe anzugleichen: so können unverheiratete Eltern beispielsweise gemeinsam die elterliche Sorge beantragen ( Art. 298a Abs. 1 ZGB ). BGE 128 III 113 S. 120 Sozialversicherungsrechtlich sind Verheiratete im Hinblick auf die Witwenrente besser gestellt. Sie sind aber im Bereich der Altersrente gegenüber Konkubinatspartnern benachteiligt, ist doch die Ehepaarrente tiefer als die Summe von zwei Einzelrenten. Der Eingriff in das Recht der Beschwerdeführenden auf Eheschliessung ist damit zwar von Dauer, aber nicht von einer ausserordentlichen Schwere. bb) Unter dem Gesichtspunkt der Verhältnismässigkeit berufen sich die Beschwerdeführenden auch auf die Interessen ihrer Kinder. Im schweizerischen Zivilrecht sind die ausserehelichen Kinder den ehelichen vollkommen gleichgestellt. Dass ein Kind nicht ehelich ist, kommt heute häufig vor und erscheint nicht mehr als etwas besonderes. Bei einer grossen Anzahl ehelicher Kinder wird überdies die Ehe der Eltern im Lauf ihrer Kindheit geschieden, so dass sich diese in einer Situation befinden, die jener der ausserehelichen Kinder sehr ähnlich ist. Unter diesen Umständen sind heute weder spezielle Vorurteile Dritter noch eine besondere soziale Benachteiligung zu erwarten, wie sie der Europäische Gerichtshof für Menschenrechte vor einigen Jahren noch befürchtete (Urteil i.S. F. c. Schweiz vom 18. Dezember 1987, Serie A, Bd. 128, Ziff. 36). Im Übrigen dürften auch die Beschwerdeführenden nicht von einer erheblichen Benachteiligung ausserehelicher Kinder ausgegangen sein, andernfalls hätten sie ihre Kinder nicht ausserhalb der Ehe gezeugt. b) Dem Recht der Beschwerdeführenden auf Eheschliessung und Familie stehen hochrangige Rechtsgüter gegenüber: der Schutz des Familienfriedens sowie die Gewährleistung der freien Entfaltung und der sexuellen Integrität des unmündigen bzw. abhängigen Stiefkindes. Käme das Bundesgericht zum Schluss, dass ein Eheverbot vorliegend gegen das Grundrecht der Beschwerdeführenden verstösst, würde dies nicht nur zur Nichtanwendung von Art. 95 Abs. 1 Ziff. 2 ZGB im vorliegenden Fall führen; ein solcher Entscheid hätte vielmehr die generelle künftige Nichtanwendung dieses Eheverbots zur Folge. c) Unter diesen Umständen geht das Bundesgericht davon aus, dass der Integration des Kindes in die Stieffamilie und seiner freien Entwicklung und Entfaltung ein allgemein anerkanntes öffentliches Interesse zukommt, das die Grundrechtsbeschränkung auf Seiten der Beschwerdeführenden rechtfertigt. Die Anwendung von Art. 95 Abs. 1 Ziff. 2 ZGB verstösst demnach nicht gegen Art. 12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