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475</w:t>
      </w:r>
    </w:p>
    <w:p>
      <w:r>
        <w:t>Bundesgericht (BGE), 2001-01-01, DE</w:t>
      </w:r>
    </w:p>
    <w:p>
      <w:r>
        <w:rPr>
          <w:b/>
        </w:rPr>
        <w:t xml:space="preserve">Quelle: </w:t>
      </w:r>
      <w:r>
        <w:t>https://mcp.opencaselaw.ch/entscheid/bge_BGE_127_V_475</w:t>
      </w:r>
    </w:p>
    <w:p>
      <w:r>
        <w:t>FR: ATF 127 V 475</w:t>
      </w:r>
    </w:p>
    <w:p>
      <w:r>
        <w:t>IT: DTF 127 V 475</w:t>
      </w:r>
    </w:p>
    <w:p>
      <w:pPr>
        <w:pStyle w:val="Heading2"/>
      </w:pPr>
      <w:r>
        <w:t>Regeste</w:t>
      </w:r>
    </w:p>
    <w:p>
      <w:r>
        <w:t>Regeste Art. 9 Abs. 2, Art. 8 Abs. 1 lit. f, Art. 15 und 29 Abs. 1 AVIG; Art. 15 Abs. 3 AVIV: Beginn der Rahmenfrist für den Leistungsbezug. -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Dies gilt in Bezug auf die Vermittlungsfähigkeit auch im Anwendungsbereich des Art. 15 Abs. 3 AVIV. Anders verhält es sich bei Zusprechung und Ausrichtung von Arbeitslosenentschädigung gestützt auf Art. 29 Abs. 1 AVIG (vgl. BGE 126 V 368). - Zur Rechtsbeständigkeit von AM/ALV-Praxis 98/4, Blatt 4, soweit nach dieser Weisung nach der erstmaligen Auszahlung von Taggeldern die Rahmenfristen ausnahmslos nicht verschoben werden können.</w:t>
      </w:r>
    </w:p>
    <w:p>
      <w:r>
        <w:t>Regeste Art. 9 al. 2, art. 8 al. 1 let. f, art. 15 et 29 al. 1 LACI; art. 15 al. 3 OACI: Début du délai-cadre applicable à la période d'indemnisation. -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Cela vaut également en cas d'application de l'art. 15 al. 3 OACI, en relation avec l'aptitude au placement, mais non lorsque les indemnités journalières sont versées conformément à l'art. 29 al. 1 LACI (cf. ATF 126 V 368). - Validité de la directive MT/AC 98/4, fiche 4, selon laquelle, après le premier versement d'indemnités journalières, les délais-cadres ne peuvent, sans exception, plus être déplacés.</w:t>
      </w:r>
    </w:p>
    <w:p>
      <w:r>
        <w:t>Regesto Art. 9 cpv. 2, art. 8 cpv. 1 lett. f, art. 15 e 29 cpv. 1 LADI; art. 15 cpv. 3 OADI: Inizio del termine quadro per la riscossione della prestazione. - L'inizio del termine quadro per la riscossione della prestazione inizialmente fissato fa stato salvo laddove risulti in seguito, dal profilo del riesame o della revisione processuale, essere le indennità di disoccupazione state riconosciute e versate indebitamente per inadempimento di uno o più presupposti del diritto. Ciò vale per quel che concerne l'idoneità al collocamento pure in applicazione dell'art. 15 cpv. 3 OADI, ma non, viceversa, per quanto attiene al riconoscimento di indennità di disoccupazione giusta l'art. 29 cpv. 1 LADI (cfr. DTF 126 V 368). - Della validità della direttiva ML/AD 98/4 foglio 4 secondo la quale dopo il primo pagamento di indennità giornaliere i termini quadro non possono, senza eccezioni, essere spostati.</w:t>
      </w:r>
    </w:p>
    <w:p>
      <w:pPr>
        <w:pStyle w:val="Heading2"/>
      </w:pPr>
      <w:r>
        <w:t>Erwägungen</w:t>
      </w:r>
    </w:p>
    <w:p>
      <w:r>
        <w:rPr>
          <w:b/>
        </w:rPr>
        <w:t>E. 1</w:t>
      </w:r>
    </w:p>
    <w:p>
      <w:r>
        <w:t>a) Nach Art. 8 Abs. 1 AVIG hat der Versicherte Anspruch auf Arbeitslosenentschädigung, wenn er u.a. die Beitragszeit erfüllt hat oder von der Erfüllung der Beitragszeit befreit ist (lit. e) und vermittlungsfähig ist (lit. f). Von der Erfüllung der Beitragszeit ist unter anderem befreit, wer innerhalb der Rahmenfrist (Art. 9 Abs. 3) während insgesamt mehr als zwölf Monaten wegen Krankheit oder Unfall nicht in einem Arbeitsverhältnis stand und deshalb die Beitragszeit nicht erfüllen konnte ( Art. 14 Abs. 1 lit. b AVIG ). b) Der Arbeitslose ist vermittlungsfähig, wenn er bereit, in der Lage und berechtigt ist, eine zumutbare Arbeit anzunehmen ( Art. 15 Abs. 1 AVIG ). Der körperlich oder geistig Behinderte gilt als vermittlungsfähig, wenn ihm bei ausgeglichener Arbeitsmarktlage, unter Berücksichtigung seiner Behinderung, auf dem Arbeitsmarkt eine zumutbare Arbeit vermittelt werden könnte ( Art. 15 Abs. 2 Satz 1 AVIG ). Ist ein Behinderter, unter der Annahme einer ausgeglichenen Arbeitsmarktlage, nicht offensichtlich vermittlungsunfähig und hat er sich bei der Invalidenversicherung oder bei einer anderen der in Art. 15 Abs. 2 AVIV genannten Versicherungen angemeldet, so gilt er bis zum Entscheid dieser Versicherung als vermittlungsfähig ( Art. 15 Abs. 3 Satz 1 AVIV in Verbindung mit Art. 15 Abs. 2 Satz 2 AVIG ).</w:t>
      </w:r>
    </w:p>
    <w:p>
      <w:r>
        <w:rPr>
          <w:b/>
        </w:rPr>
        <w:t>E. 2</w:t>
      </w:r>
    </w:p>
    <w:p>
      <w:r>
        <w:t>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BGE 127 V 475 S. 477 zwei Jahre vor diesem Tag (Abs. 3). Ist die Rahmenfrist für den Leistungsbezug abgelaufen und beansprucht der Versicherte u.a. wieder Arbeitslosenentschädigung, so gelten, sofern das Gesetz nichts anderes vorsieht, erneut zweijährige Rahmenfristen für den Leistungsbezug und die Beitragszeit (Abs. 4). a) Die Rahmenfrist für den Leistungsbezug begrenzt die Anspruchsberechtigung in zeitlicher Hinsicht und legt die für die Dauer und Höhe der Leistungen massgebende Zeitspanne fest (THOMAS NUSSBAUMER, Arbeitslosenversicherung, in: Schweizerisches Bundesverwaltungsrecht [SBVR], Soziale Sicherheit, Rz 89; vgl. auch GERHARDS, Kommentar zum Arbeitslosenversicherungsgesetz, Bd. I, N 6 zu Art. 9).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(NUSSBAUMER, a.a.O., Rz 96, sowie GERHARDS, a.a.O., N 19 zu Art. 9; vgl. auch Art. 37 Abs. 4 AVIV ). Ebenfalls kann die Rahmenfrist nicht durch den Verzicht auf Leistungen verkürzt werden (Urteil S. vom 24. Juli 2000 [C 151/99]). b) aa)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 BGE 126 V 374 oben sowie in begrifflicher Hinsicht BGE 122 V 21 Erw. 3a und 368 f. Erw. 3 mit Hinweisen). In diesem Sinne zu Unrecht bezogene Leistungen sind nach Art. 95 Abs. 1 AVIG von der Arbeitslosenkasse zurückzufordern ( BGE 126 V 399 Erw. 1). In solchen Fällen kann nach Art. 9 Abs. 2 AVIG e contrario die Bezugsrahmenfrist frühestens an dem auf den Rückerstattungszeitraum folgenden ersten Kontrolltag als eröffnet gelten, sofern in jenem Zeitpunkt alle Anspruchsvoraussetzungen erfüllt sind. bb) Ein Sonderfall liegt bei Ausrichtung von Arbeitslosenentschädigung gestützt auf Art. 29 Abs. 1 AVIG vor. Hier wird bei gegebenen tatbeständlichen Voraussetzungen (begründete "Zweifel über Ansprüche aus Arbeitsvertrag") zu Gunsten des Leistungsbezügers das Anspruchsmerkmal des anrechenbaren Arbeitsausfalles (Art. 8 Abs. 1 lit. b in Verbindung mit Art. 11 AVIG ) im Sinne BGE 127 V 475 S. 478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 BGE 126 V 372 ff. Erw. 3a und b). Ebenfalls entfällt - systemkonform - eine Rückerstattungspflicht (Urteil R. vom 15. Januar 2001 [C 91/00]). cc) Demgegenüber erfolgt die Ausrichtung von Arbeitslosenentschädigung nach Art. 15 Abs. 3 AVIV nicht auf Grund der unwiderlegbaren gesetzlichen Vermutung von Vermittlungsfähigkeit. Diese Verordnungsbestimmung statuiert nur, aber immerhin unter der tatbeständlichen Voraussetzung, dass der Behinderte (vgl. zu diesem Begriff ARV 1999 Nr. 19 S. 106 Erw. 2) nicht offensichtlich vermittlungsunfähig ist, eine Vorleistungspflicht der Arbeitslosenversicherung im Verhältnis zur Invalidenversicherung bis zu deren Entscheid. Stellt sich diese Annahme auf Grund der von der IV-Stelle ermittelten Invalidität nachträglich als unrichtig heraus, liegt ein prozessualer Revisionsgrund vor ( BGE 108 V 167 und ARV 1998 Nr. 15 S. 80 ff. Erw. 5 mit Hinweisen). Dies gilt indessen nicht und die betreffende Arbeitslosenentschädigung kann nicht zurückgefordert werden, wenn hinreichende Anhaltspunkte dafür bestehen, dass trotz im IV-Verfahren festgestellter gänzlicher Erwerbsunfähigkeit auf Vermittlungsfähigkeit für Tätigkeiten im zeitlichen Umfang von mindestens 20% eines Normalarbeitspensums ( BGE 125 V 58 Erw. 6a) geschlossen werden muss (ARV 1998 Nr. 15 S. 81 f. Erw. 5b). dd) AM/ALV-Praxis 98/4, Blatt 4, schliesst das Verschieben der Rahmenfristen nach der erstmaligen Auszahlung von Taggeldern in allen Fällen (auch jenen nach Art. 29 AVIG ) schlechterdings aus, ohne die Fälle des wiedererwägungsweisen Zurückkommens und der prozessualen Revision vorzubehalten. Insofern wäre die Weisung, allein von ihrem Wortlaut her betrachtet, gesetzwidrig. Richtig, d.h. in gesetzeskonformer Auslegung (vgl. - zu den Rechtsverordnungen - statt vieler BGE 125 V 4 Erw. 3b) verstanden, kann sie allerdings nur dahin gehend ausgelegt werden, dass im Falle des Zurückkommens kraft Wiedererwägung oder prozessualer Revision eine Verschiebung der Rahmenfristen möglich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