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458</w:t>
      </w:r>
    </w:p>
    <w:p>
      <w:r>
        <w:t>Bundesgericht (BGE), 2001-01-01, DE</w:t>
      </w:r>
    </w:p>
    <w:p>
      <w:r>
        <w:rPr>
          <w:b/>
        </w:rPr>
        <w:t xml:space="preserve">Quelle: </w:t>
      </w:r>
      <w:r>
        <w:t>https://mcp.opencaselaw.ch/entscheid/bge_BGE_127_V_458</w:t>
      </w:r>
    </w:p>
    <w:p>
      <w:r>
        <w:t>FR: ATF 127 V 458</w:t>
      </w:r>
    </w:p>
    <w:p>
      <w:r>
        <w:t>IT: DTF 127 V 458</w:t>
      </w:r>
    </w:p>
    <w:p>
      <w:pPr>
        <w:pStyle w:val="Heading2"/>
      </w:pPr>
      <w:r>
        <w:t>Regeste</w:t>
      </w:r>
    </w:p>
    <w:p>
      <w:r>
        <w:t>Regeste Art. 22 und 22a AVIG; Art. 3 Abs. 2, Art. 77 Abs. 2 UVG; Art. 3 und 5 der Verordnung über die Unfallversicherung von arbeitslosen Personen (UVAL; SR 837.171): Versicherungsschutz bei Nichtberufsunfällen nach Stellenverlust mit anschliessender Arbeitslosigkeit. - Liegt bei einer arbeitslosen Person eine Doppelversicherung für Nichtberufsunfälle vor, da sie nach Beginn des Versicherungsschutzes gemäss Art. 3 Abs. 1 UVAL, aber vor Ende der Nachdeckungsfrist nach Art. 3 Abs. 2 UVG verunfallt, berechnet sich das Unfalltaggeld nach Art. 5 Abs. 1 UVAL. Sobald ein neuer Versicherungsschutz für Nichtberufsunfälle besteht, ist die neue Versicherung zuständig, selbst wenn der Unfall in die Nachdeckungsfrist fällt, da diese damit nicht mehr notwendig ist. - Art. 5 Abs. 1 UVAL (in der bis 31. Dezember 1996 gültig gewesenen wie auch in der seit 1. Januar 1997 geltenden Fassung), wonach das Taggeld der Unfallversicherung der Arbeitslosenentschädigung abzüglich der Beiträge an die Sozialversicherungen nach Art. 22a AVIG resp. der Nettoentschädigung der Arbeitslosenversicherung nach den Art. 22 und 22a AVIG, jeweils umgerechnet auf den Kalendertag, entspricht, ist verfassungs- und gesetzeskonform.</w:t>
      </w:r>
    </w:p>
    <w:p>
      <w:r>
        <w:t>Regeste Art. 22 et 22a LACI; art. 3 al. 2, art. 77 al. 2 LAA; art. 3 et 5 de l'ordonnance sur l'assurance-accidents des personnes au chômage (OAAC; RS 837.171): Couverture des accidents non professionnels survenant après la perte d'un emploi, en cas de chômage consécutif à cette dernière. - Si une personne au chômage bénéficie d'une double assurance contre les accidents non professionnels et qu'elle subisse un accident après le début de la couverture selon l'art. 3 al. 1 OAAC mais avant la fin de la période d'assurance prolongée de l'art. 3 al. 2 LAA, l'indemnité journalière en cas d'accident est calculée conformément à l'art. 5 al. 1 OAAC. Sitôt une nouvelle couverture d'assurance contre les accidents non professionnels en vigueur, la nouvelle assurance répond du sinistre même si l'accident survient durant la période d'assurance prolongée, car cette dernière n'est plus nécessaire. - L'art. 5 al. 1 OAAC (dans sa teneur en vigueur jusqu'au 31 décembre 1996 comme dans celle applicable dès le 1er janvier 1997), à teneur duquel l'indemnité journalière de l'assurance-accidents correspond à l'indemnité de chômage sous déduction des cotisations d'assurances sociales selon l'art. 22a LACI, respectivement à l'indemnité nette de l'assurance-chômage visée aux art. 22 et 22a LACI, calculées l'une et l'autre par jours civils, est conforme à la Constitution et à la loi.</w:t>
      </w:r>
    </w:p>
    <w:p>
      <w:r>
        <w:t>Regesto Art. 22 e 22a LADI; art. 3 cpv. 2, art. 77 cpv. 2 LAINF; art. 3 e 5 dell'ordinanza sull'assicurazione contro gli infortuni dei disoccupati (OAID; RS 837.171): Copertura assicurativa per infortuni non professionali dopo la perdita dell'impiego con conseguente disoccupazione. - Laddove una persona disoccupata disponga di una doppia assicurazione contro gli infortuni non professionali perché essa è infortunata dopo l'inizio della protezione assicurativa conformemente all'art. 3 cpv. 1 OAID, ma prima della scadenza del termine suppletivo di copertura di cui all'art. 3 cpv. 2 LAINF, l'indennità giornaliera è calcolata secondo l'art. 5 cpv. 1 OAID. Tosto che sorga una nuova protezione assicurativa contro gli infortuni non professionali, è competente la nuova assicurazione, anche se l'infortunio sia intervenuto durante il termine suppletivo di copertura, dato che tale termine non è più necessario. - L'art. 5 cpv. 1 OAID (nel suo tenore vigente fino al 31 dicembre 1996 così come in quello applicabile dal 1o gennaio 1997), secondo cui l'indennità giornaliera dell'assicurazione contro gli infortuni corrisponde all'indennità dell'assicurazione contro la disoccupazione dedotti i contributi alle assicurazioni sociali giusta l'art. 22a LADI, rispettivamente all'indennità netta di cui agli art. 22 e 22a LADI, calcolata per giorno civile, è conforme a legge e Costituzione.</w:t>
      </w:r>
    </w:p>
    <w:p>
      <w:pPr>
        <w:pStyle w:val="Heading2"/>
      </w:pPr>
      <w:r>
        <w:t>Erwägungen</w:t>
      </w:r>
    </w:p>
    <w:p>
      <w:r>
        <w:rPr>
          <w:b/>
        </w:rPr>
        <w:t>E. 2</w:t>
      </w:r>
    </w:p>
    <w:p>
      <w:r>
        <w:t>Zunächst ist über den Hauptantrag der Beschwerdeführerin zu entscheiden, es sei ihr das höhere, auf der Grundlage des bei der letzten Arbeitgeberin erzielten Lohnes, und nicht das niedrigere, auf der Basis der Arbeitslosenversicherungsordnung berechnete Taggeld zu gewähren. a) aa) Gemäss Art. 3 Abs. 2 UVG endet die Versicherung mit dem 30. Tag nach dem Tage, an dem der Anspruch auf mindestens den halben Lohn aufhört. Der Bundesrat regelt die Vergütungen und Ersatzeinkünfte, die als Lohn gelten, die Form und den Inhalt von Abreden über die Verlängerung von Versicherungen sowie die Fortdauer der Versicherung bei Arbeitslosigkeit ( Art. 3 Abs. 5 UVG ). Als Lohn im Sinne von Art. 3 Abs. 2 UVG gelten gemäss Art. 7 Abs. 1 lit. b UVV auch Taggelder der obligatorischen Unfallversicherung. bb) Arbeitslose Personen, welche die Anspruchsvoraussetzungen nach Art. 8 AVIG erfüllen oder Entschädigungen nach Art. 29 AVIG beziehen, sind bei der Schweizerischen Unfallversicherungsanstalt (SUVA) obligatorisch gegen Unfälle versichert (Art. 2 der rückwirkend auf den 1. Januar 1996 in Kraft gesetzten Verordnung über die Unfallversicherung von arbeitslosen Personen vom 24. Januar 1996 [UVAL]; SR 837.171). Die Versicherung beginnt gemäss Art. 3 Abs. 1 UVAL mit dem Tag, an welchem Arbeitslose erstmals die Anspruchsvoraussetzungen nach Art. 8 AVIG erfüllen oder Entschädigungen nach Art. 29 AVIG beziehen. b) Die Versicherte arbeitete letztmals am 31. Mai 1996. Am 3. Juni 1996 meldete sie sich arbeitslos und bezog Arbeitslosenentschädigung. Der Unfall vom 17. Juni 1996 ereignete sich demnach während der bis zum 30. Juni 1996 laufenden Nachdeckungsfrist der obligatorischen Unfallversicherung, in einem Zeitpunkt, in dem die Beschwerdeführerin Taggelder der Arbeitslosenversicherung bezog. Damit war sie als arbeitslose Person ebenfalls obligatorisch bei der SUVA unfallversichert, womit ein doppelter Versicherungsschutz bestand. aa) Mit der Nachdeckungsfrist gemäss Art. 3 Abs. 2 UVG und der Regelung des Versicherungsbeginns von arbeitslosen Personen können solche Doppelversicherungen entstehen. Der Gesetzgeber BGE 127 V 458 S. 460 wollte - wie das Eidg. Versicherungsgericht in ARV 1998 Nr. 22 S. 105 anhand einer Analyse der Gesetzesmaterialien dargelegt hat - indessen nicht nur jenen den Versicherungsschutz zukommen lassen, die schon vor der Arbeitslosigkeit versichert waren, sondern alle arbeitslosen Personen obligatorisch versichern, ohne dass die Arbeitslosenkasse in jedem Fall abklären muss, ob vor Eintritt der Arbeitslosigkeit eine Versicherung nach UVG bestand (ARV 1998 Nr. 22 S. 112 Erw. 3c). Damit ist indessen noch nicht entschieden, welche der beiden Versicherungen im Falle einer Doppelversicherung Leistungen zu erbringen hat. Zu klären ist somit die sich vor Eidg. Versicherungsgericht erstmals stellende Frage des Verhältnisses zwischen der Nachdeckungsfrist gemäss Art. 3 Abs. 2 UVG und dem Versicherungsbeginn gemäss Art. 3 Abs. 1 UVAL . bb) Nach Auffassung der Beschwerdeführerin geht die Unfallversicherung des bisherigen Arbeitgebers vor. Eine Leistungspflicht des Unfallversicherers der Arbeitslosenversicherung entstehe erst nach Ablauf der 30-tägigen Nachdeckungsfrist. Diejenige Versicherung sei für Nichtberufsunfälle zuständig, bei welcher die verunfallte Person zuletzt auch gegen Berufsunfälle versichert war ( Art. 77 Abs. 2 UVG ), d.h. die über den Arbeitgeber zur Leistungserbringung verpflichtete Versicherung. Art. 3 Abs. 2 UVG wolle bewusst die nach einem Stellenverlust noch arbeitslosen Personen abdecken. Dieser Schutzzweck werde vereitelt, wenn in Fällen von Doppeldeckung der durch die Arbeitslosenversicherung bezeichnete Unfallversicherer, die SUVA, als zuständig bezeichnet werde, da sie Leistungen erbringe, welche auf einem tieferen versicherten Einkommen basieren würden. Denn erfahrungsgemäss melde sich die weit überwiegende Mehrheit der Arbeitslosen unmittelbar nachdem sie keinen Lohnanspruch mehr besitzt, arbeitslos. cc) Auch für die Vorinstanz ist von Art. 77 Abs. 2 UVG auszugehen; sie kommt indessen zu einem anderen Schluss. Danach ist für arbeitnehmende Versicherte, die nahtlos aus einem Arbeitsverhältnis in ein neues übertreten, für Nichtberufsunfälle die Versicherung des neuen Arbeitgebers zuständig. Dies müsse auch für Arbeitslose gelten, welche im Rahmen des Leistungsbezugs in Form von Arbeitslosenentschädigung obligatorisch bei der SUVA unfallversichert sind. dd) Nach Art. 77 Abs. 1 UVG erbringt bei Berufsunfällen der Versicherer die Leistungen, bei dem die Versicherung zur Zeit des Unfalls bestanden hat. Bei Nichtberufsunfällen ist jener Versicherer leistungspflichtig, bei dem der Verunfallte zuletzt auch gegen BGE 127 V 458 S. 461 Berufsunfälle versichert war ( Art. 77 Abs. 2 UVG ). Durch diese Vorschriften wird bestimmt, welcher Versicherer leistungspflichtig ist, wenn bei Eintritt des leistungsbegründenden Ereignisses und in der Folgezeit bei verschiedenen Versicherern eine Risikodeckung bestand ( BGE 116 V 53 Erw. 1a; MAURER, Schweizerisches Unfallversicherungsrecht, S. 68). Aus dieser Ordnung kann indessen für die Beantwortung der vorliegenden Rechtsfrage der Leistungspflicht bei der hier speziellen Doppelversicherung für Nichtberufsunfälle nichts hergeleitet werden. ee) Art. 3 Abs. 2 UVG bezweckt die Verhinderung von Versicherungslücken für Personen, die nach Beendigung eines Arbeitsverhältnisses nicht sofort eine neue Stelle antreten; ohne Nachdeckung verfügten sie über keinen Versicherungsschutz für Nichtberufsunfälle. Sobald indessen wiederum ein solcher Schutz vorhanden ist, ist die neue Versicherung zuständig, selbst wenn der Unfall in die Nachdeckungsfrist fällt, da diese damit nicht mehr notwendig ist. Das bedeutet für Bezüger von Arbeitslosenentschädigung, dass die Leistungspflicht des Unfallversicherers der Arbeitslosenversicherung nicht erst dann beginnt, wenn die 30-tägige Nachdeckungsfrist abgelaufen ist. Der Arbeitnehmer, der ohne Unterbruch aus einem alten in ein neues Arbeitsverhältnis übertritt, kann ebenfalls nicht geltend machen, es bestünde im Rahmen der Nachdeckung gemäss Art. 3 Abs. 2 UVG ein Versicherungsschutz beim ersten Arbeitgeber. Verunfallt er, hat der Versicherer des neuen Arbeitgebers zu leisten, auch wenn die Versicherungsleistungen allenfalls tiefer sind als bei der Versicherung des früheren Arbeitgebers. Der Zweck der "Auffangbestimmung" von Art. 3 Abs. 2 UVG (Verhinderung von Versicherungslücken) kommt auch darin zum Ausdruck, dass für die Nachdeckungsfrist keine Prämien geschuldet sind. Demgegenüber zieht die Arbeitslosenkasse die Prämie für die obligatorische Versicherung für Nichtberufsunfälle von der Arbeitslosenentschädigung ab und entrichtet sie der SUVA ( Art. 22a Abs. 4 Satz 1 AVIG ; vgl. dazu ARV 1998 Nr. 22 S. 105). Es ist daher sachgerecht, dass diejenige Versicherung die Leistungen erbringt, welche im Unfallzeitpunkt die Prämien erhält. Für diese Konstellation der Doppelversicherung (Nachdeckung gemäss Art. 3 Abs. 2 UVG für Nichtberufsunfälle und Versicherung auch für Nichtberufsunfälle gemäss Art. 3 Abs. 1 UVAL ) ist demnach die SUVA als Unfallversicherer der Arbeitslosenversicherung zuständig. Dass bei Arbeitslosen das durch den Unfallversicherer ausgerichtete Taggeld nicht höher als die ohne Unfall zustehende BGE 127 V 458 S. 462 Arbeitslosenentschädigung sein soll, entsprach auch der Regelung vor Inkrafttreten der UVAL. Art. 23 Abs. 2 UVV (gültig gewesen bis 31. Dezember 1995) bestimmte, dass bei versicherten Personen, die ganz arbeitslos sind, der vor der Arbeitslosigkeit erzielte Lohn massgebend ist. In Art. 25 Abs. 2 UVV (gültig gewesen bis 31. Dezember 1995) wurde zudem geregelt, dass das Taggeld der Unfallversicherung jenes der Arbeitslosenversicherung nicht übersteigen darf, sofern der Versicherte eine Arbeitslosenentschädigung bezog (vgl. BGE 120 V 493 Erw. 2 und BGE 113 V 130 Erw. 2b).</w:t>
      </w:r>
    </w:p>
    <w:p>
      <w:r>
        <w:rPr>
          <w:b/>
        </w:rPr>
        <w:t>E. 3</w:t>
      </w:r>
    </w:p>
    <w:p>
      <w:r>
        <w:t>Weiter steht die Gesetzmässigkeit von Art. 5 Abs. 1 UVAL im Raum. a) Gemäss Art. 22a Abs. 4 AVIG zieht die Kasse von der Arbeitslosenentschädigung auch die Prämie für die obligatorische Versicherung der Nichtberufsunfälle ab und entrichtet sie der SUVA (Satz 1). Für Einstell- und Wartetage werden keine Prämien erhoben (Satz 2). Der Bundesrat regelt die Einzelheiten und das Verfahren (Satz 3). Die vom Bundesrat gestützt hierauf erlassene UVAL sieht in Art. 5 Abs. 1 in der (im vorliegenden Fall für die Zeit bis 31. Dezember 1996 anwendbaren) Fassung vom 24. Januar 1996 vor, dass das Taggeld der Unfallversicherung der Arbeitslosenentschädigung abzüglich der Beiträge an die Sozialversicherungen nach Art. 22a AVIG entspricht, umgerechnet auf den Kalendertag. Mit Wirkung auf den 1. Januar 1997 (hier für die Folgezeit anwendbare Fassung vom 6. November 1996) wurde diese Verordnungsbestimmung dahin gehend geändert, dass das Taggeld der Unfallversicherung der Nettoentschädigung der Arbeitslosenversicherung nach den Artikeln 22 und 22a AVIG, umgerechnet auf den Kalendertag, entspricht. b) (Überprüfung von Verordnungen des Bundesrates durch das Eidg. Versicherungsgericht; vgl. BGE 127 V 7 Erw. 5a, BGE 126 II 404 Erw. 4a, 573 Erw. 41, BGE 126 V 52 Erw. 3b, 365 Erw. 3, 473 Erw. 5b, je mit Hinweisen). c) Wie das Eidg. Versicherungsgericht in ARV 1998 Nr. 22 S. 111 Erw. 3b erkannt hat, wurde dem Bundesrat für die Regelung der UVAL, bei welcher es sich im Verhältnis zu Art. 22a Abs. 4 AVIG um eine gesetzesvollziehende und im Hinblick auf das UVG um eine gesetzesvertretende Verordnung handelt, ein weiter Gestaltungsspielraum eingeräumt. Zu prüfen ist demnach, ob die umstrittene Verordnungsvorschrift offensichtlich aus dem Rahmen der dem Bundesrat im Gesetz ( Art. 22a Abs. 4 Satz 3 AVIG ) delegierten BGE 127 V 458 S. 463 Kompetenzen herausfällt oder aus andern Gründen verfassungs- oder gesetzwidrig ist. Wie sich aus den in RKUV 1996 S. 45 ff. publizierten Erläuterungen zu den einzelnen Bestimmungen der rückwirkend auf den 1. Januar 1996 in Kraft gesetzten Fassung der UVAL vom 24. Januar 1996 ergibt, ging der Verordnungsgeber für die Festlegung des Taggeldes der Unfallversicherung arbeitsloser Personen vom Grundsatz aus, dass dieses nicht höher sein soll, als die von der Arbeitslosenversicherung ausbezahlte Entschädigung. Aus diesem Grunde sah er eine Regelung vor, welche auf die Arbeitslosenentschädigung nach Abzug der Beiträge an die Sozialversicherungen abstellte (RKUV 1996 S. 46 zu Art. 5 UVAL , welche Ausführungen sich auf die ab 1. Januar 1997 in Kraft stehende Fassung übertragen lassen). Damit wurde erreicht, dass eine arbeitslose Person durch einen Unfall nicht besser gestellt wird, als wenn sie diesen nicht erlitten hätte, so dass sie nicht mehr ausbezahlt erhält, als der tatsächlich eingetretene, im Verlust der Arbeitslosentaggelder bestehende Schaden ausmacht. Dass der Bundesrat dieses Prinzip stärker gewichtet hat als den von der Beschwerdeführerin angerufenen Grundsatz der Konnexität zwischen dem Einkommen, auf welchem die Prämien erhoben werden (Bruttoentschädigung), und demjenigen, welches Grundlage für die Leistungsberechnung bildet (Nettoentschädigung), ist nicht zu beanstanden (vgl. für Abweichungen zwischen dem Beitragsobjekt und dem Grundlage für die Leistungsberechnung bildenden versicherten Verdienst: Art. 115 Abs. 1 lit. a-c UVV ; THOMAS LOCHER, Grundriss des Sozialversicherungsrechts, 2. Aufl., Bern 1997, S. 153 N 29). Die vorgesehene Lösung ist auch sonst weder zweck- oder sinnlos, noch trifft sie Unterscheidungen, für die sich ein vernünftiger Grund nicht finden lässt. Wie die Vorinstanz zutreffend erwog, scheint eine Differenzierung des Leistungsbezugs durch Arbeitslose danach, ob es um Taggelder der Arbeitslosenversicherung oder solche der Unfallversicherung geht, gerechtfertigt, dies namentlich mit Blick darauf, dass es sehr wohl einen Unterschied macht, ob eine arbeitslose Person Taggelder der Arbeitslosenversicherung bezieht und der Arbeitsvermittlung zur Verfügung steht oder ob sie Anspruch auf solche der Unfallversicherung hat. Nichts zu ihren Gunsten abzuleiten vermag die Beschwerdeführerin sodann aus der Regelung der Militärversicherung ( Art. 28 Abs. 6 MVG ), wonach das Taggeld bei Arbeitsunfähigkeit infolge einer Gesundheitsschädigung bei Arbeitslosigkeit der Entschädigung BGE 127 V 458 S. 464 der Arbeitslosenversicherung entspricht, d.h. in der Regel 80% des versicherten Verdienstes nach Art. 22 AVIG beträgt (JÜRG MAESCHI, Kommentar zum Bundesgesetz über die Militärversicherung [MVG] vom 19. Juni 1992, Bern 2000, S. 251 N 37 zu Art. 28). Denn der Verordnungsgeber war nicht verpflichtet, in der Unfallversicherung eine für den Versicherten ebenso günstige Regelung vorzusehen, sondern es lag in seinem Ermessen, das Nettotaggeld für massgebend zu erklären. Mit Blick auf den dem Bundesrat durch die gesetzliche Delegation zugestandenen Gestaltungsspielraum geht schliesslich auch der Einwand ins Leere, wonach sich weder im Gesetz noch in den Materialien der parlamentarischen Beratungen Hinweise dafür fänden, dass so zu entscheiden wäre, wie es der Verordnungsgeber in Art. 5 Abs. 1 UVAL getan habe. Denn zu prüfen ist angesichts des dem Bundesrat durch die gesetzliche Delegation eingeräumten weiten Spielraumes des Ermessens einzig, ob die umstrittene Vorschrift des Art. 5 Abs. 1 UVAL nicht offensichtlich aus dem Rahmen der dem Bundesrat im Gesetz delegierten Kompetenz herausfällt noch aus anderen Gründen gesetz- oder verfassungswidrig ist, welche Frage die Vorinstanz nach dem Gesagten zu Recht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