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339</w:t>
      </w:r>
    </w:p>
    <w:p>
      <w:r>
        <w:t>Bundesgericht (BGE), 2001-01-01, DE</w:t>
      </w:r>
    </w:p>
    <w:p>
      <w:r>
        <w:rPr>
          <w:b/>
        </w:rPr>
        <w:t xml:space="preserve">Quelle: </w:t>
      </w:r>
      <w:r>
        <w:t>https://mcp.opencaselaw.ch/entscheid/bge_BGE_127_V_339</w:t>
      </w:r>
    </w:p>
    <w:p>
      <w:r>
        <w:t>FR: ATF 127 V 339</w:t>
      </w:r>
    </w:p>
    <w:p>
      <w:r>
        <w:t>IT: DTF 127 V 339</w:t>
      </w:r>
    </w:p>
    <w:p>
      <w:pPr>
        <w:pStyle w:val="Heading2"/>
      </w:pPr>
      <w:r>
        <w:t>Regeste</w:t>
      </w:r>
    </w:p>
    <w:p>
      <w:r>
        <w:t>Regeste Art. 31 Abs. 1 lit. a KVG; Art. 17 (Ingress) und Art. 17 lit. b Ziff. 3 KLV: Zahnärztliche Behandlung von Parodontopathien. Ist eine Parodontopathie auf eine Chemotherapie eines malignen Leidens zurückzuführen, ist die Übernahme der Kosten der Behandlung durch die obligatorische Krankenpflegeversicherung gestützt auf Art. 17 lit. b Ziff. 3 KLV als irreversible Nebenwirkung von Medikamenten zu prüfen.</w:t>
      </w:r>
    </w:p>
    <w:p>
      <w:r>
        <w:t>Regeste Art. 31 al. 1 let. a LAMal; art. 17 (phrase introductive) et art. 17 let. b ch. 3 OPAS: Traitements dentaires en cas de parodontopathie. Afin de déterminer si les frais de traitement d'une parodontopathie imputable à une chimiothérapie d'une pathologie maligne doivent être pris en charge par l'assurance-maladie obligatoire, il convient d'examiner si elle constitue l'effet secondaire irréversible de médicaments au sens de l'art. 17 let. b ch. 3 OPAS.</w:t>
      </w:r>
    </w:p>
    <w:p>
      <w:r>
        <w:t>Regesto Art. 31 cpv. 1 lett. a LAMal; art. 17 (frase introduttiva) e art. 17 lett. b cifra 3 OPre: Cure dentarie in caso di parodontopatie. Al fine di determinare se le spese di cura di una parodontopatia addebitabile a una chemioterapia di una patologia maligna debbano essere assunte a carico dall'assicurazione malattie obbligatoria, dev'essere esaminato se l'affezione in questione costituisca un effetto secondario irreversibile dovuto a medicamenti ai sensi dell'art. 17 lett. b cifra 3 OPre.</w:t>
      </w:r>
    </w:p>
    <w:p>
      <w:pPr>
        <w:pStyle w:val="Heading2"/>
      </w:pPr>
      <w:r>
        <w:t>Erwägungen</w:t>
      </w:r>
    </w:p>
    <w:p>
      <w:r>
        <w:rPr>
          <w:b/>
        </w:rPr>
        <w:t>E. 1</w:t>
      </w:r>
    </w:p>
    <w:p>
      <w:r>
        <w:t>Da das Gericht im Hinblick auf die sich hier stellenden medizinischen Fragen Fachpersonen konsultiert hat, wurde das Verfahren sistiert. Nach Vorliegen des Berichtes mit Ergänzungen ist der Grund der Sistierung weggefallen. Sie ist daher aufzuheben.</w:t>
      </w:r>
    </w:p>
    <w:p>
      <w:r>
        <w:rPr>
          <w:b/>
        </w:rPr>
        <w:t>E. 2</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BGE 127 V 339 S. 341 Abs. 1 lit. b KVG ) oder zur Behandlung einer schweren Allgemeinerkrankung oder ihrer Folgen notwendig ist ( Art. 31 Abs. 1 lit. c KVG ). b) Gestützt auf Art. 33 Abs. 2 und 5 KVG in Verbindung mit Art. 33 lit. d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deren Behandlungskosten von der obligatorischen Krankenversicherung zu übernehmen sind. In Art. 18 KLV werden die schweren Allgemeinerkrankungen und ihre Folgen aufgelistet, die zu zahnärztlicher Behandlung führen können und deren Kosten von der obligatorischen Krankenversicherung zu tragen sind. Hier müssen die Allgemeinerkrankungen oder ihre Folgen schwer sein, nicht hingegen die dadurch bedingte Erkrankung des Kausystems. In Art. 19 KLV schliesslich hat das Departement die schweren Allgemeinerkrankungen aufgezählt, bei denen die zahnärztliche Massnahme notwendiger Bestandteil der Behandlung darstellt.</w:t>
      </w:r>
    </w:p>
    <w:p>
      <w:r>
        <w:rPr>
          <w:b/>
        </w:rPr>
        <w:t>E. 3</w:t>
      </w:r>
    </w:p>
    <w:p>
      <w:r>
        <w:t>Zu prüfen ist zunächst die anwendbare Rechtsgrundlage. a) Die Krankenkasse verneint von vornherein jegliche Leistungspflicht gestützt auf das KVG, da sie gemäss Art. 19 KLV nur diejenigen Kosten einer zahnärztlichen Behandlung zu übernehmen habe, die vorgängig einer Strahlen- oder Chemotherapie notwendig seien, die Zahnsanierung der Beschwerdeführerin jedoch nach Durchführung der Chemotherapie nötig geworden sei. Art. 18 KLV erwähne sodann weder das Mammakarzinom noch die Chemotherapie als schwere Allgemeinerkrankung beziehungsweise konsekutive Behandlung. Die Beschwerdeführerin hat im vorinstanzlichen Verfahren zur Begründung ihres Begehrens geltend gemacht, Art. 19 lit. c KLV sei gesetzwidrig. Diese Bestimmung erkläre die Kosten der zahnärztlichen Behandlung nur bei vorgängiger Chemotherapie zur Pflichtleistung, während das Gesetz in Art. 31 Abs. 1 lit. b KVG die Kosten für eine zahnärztliche Behandlung ausdrücklich der obligatorischen Krankenpflegeversicherung auferlege, wenn diese durch eine schwere Allgemeinerkrankung oder ihre Folgen bedingt sei. Die Vorinstanz schliesslich hat darauf hingewiesen, dass BGE 127 V 339 S. 342 Art. 19 lit. c KLV denjenigen Fall regle, wo die zahnärztliche Behandlung notwendiger Bestandteil der Behandlung der schweren Allgemeinerkrankung selber oder ihrer Folgen sei, dass die Behandlung des Leidens vorliegend jedoch bereits 1993 abgeschlossen gewesen sei. Sie hat sodann Art. 18 KLV einer näheren Prüfung unterzogen und festgestellt, das maligne Leiden sei darin nicht aufgeführt. Auf Anfrage hin hat sie vom Departement die Antwort erhalten, das maligne Leiden sei deshalb in Art. 18 KLV nicht aufgenommen worden, weil es wissenschaftlich nicht erhärtet sei, dass Zahnschäden als Folge dieses Leidens oder seiner Behandlung auftreten könnten. Das kantonale Gericht sah keinen Grund, dieser Ansicht nicht zu folgen. Eher beiläufig stellte es der Vollständigkeit halber in Erw. 1 fest, dass eine Anwendung von Art. 17 KLV nicht in Frage komme. Trotz der Ausführungen der Vorinstanz, dass eine allfällige Gesetzwidrigkeit nicht in Art. 19 KLV , sondern allenfalls in Art. 18 KLV zu suchen wäre, hält die Versicherte im Verwaltungsgerichtsbeschwerdeverfahren an ihrer Auffassung fest. b) Im Ergebnis hat die Vorinstanz zunächst zu Recht festgestellt, dass eine Anwendung von Art. 19 KLV in der vorliegend anwendbaren, bis Ende 1998 gültigen Fassung ausser Betracht fällt. Zwar wurden bereits dieser Bestimmung nicht nur vorausgehende zahnärztliche Behandlungen, sondern generell die gesamte zahnärztliche Versorgung, die zur Behandlung einer in der Verordnungsbestimmung erwähnten schweren Allgemeinerkrankung notwendig war, zugeordnet (vgl. BGE 124 V 199 Erw. 2d; GEBHARD EUGSTER, Krankenversicherungsrechtliche Aspekte der zahnärztlichen Behandlung nach Art. 31 Abs. 1 KVG , in: LAMal - KVG, Recueil de travaux en l'honneur de la société suisse de droit des assurances, Lausanne 1997, S. 243); doch fällt der vorliegende Sachverhalt auch nicht unter diesen weiter gefassten Anwendungsbereich des Art. 19 KLV . Der Vollständigkeit halber kann darauf hingewiesen werden, dass der Wortlaut von Art. 19 KLV per 1. Januar 1999 entsprechend geändert worden ist, was auf den konkreten Fall jedoch keine Auswirkungen hat. Bezüglich Art. 18 KLV hat das kantonale Gericht sodann zutreffend ausgeführt, dass in dieser Bestimmung maligne Leiden von der Art, wie sie bei der Beschwerdeführerin zu behandeln waren, nicht als schwere Allgemeinerkrankung aufgeführt sind, welche selbst oder ihre Folgen eine zahnärztliche Behandlung notwendig machen. Die Aussage der Gerichts bezog sich auf die bis Ende 1998 gültig gewesene Fassung der BGE 127 V 339 S. 343 Verordnungsbestimmung; daran hat sich in der ab 1. Januar 1999 in Kraft stehenden Regelung nichts geändert. Zu erwähnen ist schliesslich, dass das Eidg. Versicherungsgericht in BGE 124 V 185 entschieden hat, dass die in Art. 17-19 KLV erwähnten Erkrankungen, deren zahnärztliche Behandlung von der sozialen Krankenversicherung zu übernehmen ist, abschliessend aufgezählt sind. Bevor eine Prüfung des Art. 18 KLV auf seine Übereinstimmung mit dem Bundesgesetz in Betracht gezogen und gefragt wird, ob solche Leiden darin zu Unrecht nicht aufgeführt sind, was dem Eidg. Versicherungsgericht nicht verwehrt ist, wobei es sich aber grosse Zurückhaltung auferlegt ( BGE 124 V 185 ), ist Art. 17 KLV , dessen Anwendung die Vorinstanz beiläufig ausgeschlossen hat, einer näheren Prüfung zu unterziehen.</w:t>
      </w:r>
    </w:p>
    <w:p>
      <w:r>
        <w:rPr>
          <w:b/>
        </w:rPr>
        <w:t>E. 4</w:t>
      </w:r>
    </w:p>
    <w:p>
      <w:r>
        <w:t>Zysten (ohne Zusammenhang mit Zahnelementen),</w:t>
      </w:r>
    </w:p>
    <w:p>
      <w:r>
        <w:rPr>
          <w:b/>
        </w:rPr>
        <w:t>E. 5</w:t>
      </w:r>
    </w:p>
    <w:p>
      <w:r>
        <w:t>Das Gericht hat dazu die von zwei verschiedenen Berufsgruppen zur Leistungspflicht der sozialen Krankenversicherung im Sinne von Art. 31 KVG herausgegebenen Leitfäden zu Rate gezogen (Atlas der Erkrankungen mit Auswirkungen auf das Kausystem [SSO-Atlas], herausgegeben von der Schweizerischen BGE 127 V 339 S. 345 Zahnärzte-Gesellschaft SSO, 1996; KVG-Leitfaden, Leistungspflicht im Fachbereich Kiefer- und Gesichtschirurgie, herausgegeben von der Gesundheitspolitischen Kommission der Schweizerischen Gesellschaft für Kiefer- und Gesichtschirurgie, 1999). In der Erkenntnis, dass diese Unterlagen einerseits auf die sich stellenden Fragen wenig grundsätzliche Antworten geben und die Thematik mehr kasuistisch angehen und andererseits in vielen Einzelfragen zu unterschiedlichen Schlussfolgerungen gelangen, sowie angesichts der grossen praktischen Bedeutung mit allfällig weit reichenden finanziellen Folgen für die Versicherten und die Versicherer hat das Gericht eine Expertengruppe mit der Ausarbeitung eines Grundsatzgutachtens beauftragt. Dieses hatte die gestellten Fragen grundsätzlich, d.h. losgelöst von den anstehenden Einzelfällen, zu beantworten und so dem Gericht eine Grundlage zu bieten, welche es ihm erlaubt, den gesetzlichen Bestimmungen einen Inhalt zu geben, der auf einem zutreffenden Verständnis des der Regelung zu Grunde liegenden medizinischen Fachwissens beruht. Bei den drei Mitgliedern der Expertengruppe handelt es sich um PD Dr. med. dent. Urs Gebauer, Klinik für Kieferorthopädie, Bern, Dr. med. dent. Martin Chiarini, Ecole de médecine dentaire, Genève, und Dr. med. dent. Wanda Gnoinski, Klinik für Kieferorthopädie, Zürich. Diese Experten durften andere Fachpersonen kontaktieren.</w:t>
      </w:r>
    </w:p>
    <w:p>
      <w:r>
        <w:rPr>
          <w:b/>
        </w:rPr>
        <w:t>E. 6</w:t>
      </w:r>
    </w:p>
    <w:p>
      <w:r>
        <w:t>a) Die Experten wurden zum Krankheitswert befragt, der bei verlagerten und überzähligen Zähnen und Zahnkeimen nach Art. 17 lit. a Ziff. 2 KLV Voraussetzung der Leistungspflicht der sozialen Krankenversicherung ist. Die Fachpersonen erblicken in diesem Krankheitswert einen gegenüber dem allgemein definierten Begriff der Krankheit gemäss Art. 2 Abs. 1 KVG qualifizierten Begriff. Ihm komme - so führen sie aus - Abgrenzungsfunktion zu. Weil die Umschreibungen "Verlagerung" und "Überzahl" von Zähnen und Zahnkeimen sowohl leichte wie auch schwere Erkrankungen des Kausystems erfassten, würden auf diese Weise die schweren, eben jene mit Krankheitswert, von den übrigen Erkrankungen abgegrenzt, die nicht als schwer einzustufen seien und daher der Leistungspflicht der sozialen Krankenversicherung gemäss Art. 31 Abs. 1 KVG nicht unterlägen. b) Das Gericht sieht keinen Grund, im Krankheitswert, der nach Art. 17 KLV bei allen darin aufgeführten Erkrankungen erreicht sein muss, damit die Behandlung der Leistungspflicht unterliegt, etwas anderes zu erblicken. Auch hier dient der Begriff der Abgrenzung. Er drückt das Mass der Schwere der Erkrankung als Voraussetzung BGE 127 V 339 S. 346 für die Leistungspflicht der sozialen Krankenversicherung aus. Nicht schwere Erkrankungen sollen nach der gesetzlichen Vorgabe des Art. 31 Abs. 1 KVG davon ausgeschlossen sein. Der in Art. 17 KLV geforderte Krankheitswert übersteigt somit den für die soziale Krankenversicherung allgemein geltenden Krankheitswert des Art. 2 Abs. 1 KVG (vgl. zum Ganzen: BGE 127 V 328 ).</w:t>
      </w:r>
    </w:p>
    <w:p>
      <w:r>
        <w:rPr>
          <w:b/>
        </w:rPr>
        <w:t>E. 7</w:t>
      </w:r>
    </w:p>
    <w:p>
      <w:r>
        <w:t>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BGE 127 V 339 S. 347 Meinung des PD Dr. med. O., Chefarzt Onkozentrum Y, die Chemotherapie zu Parodontose führen kann. Diese Auffassung vertreten auch der von der Beschwerdegegnerin als Vertrauensarzt beigezogene Prof. Dr. Dr. med. H. sowie die vom Eidg. Versicherungsgericht mit der Erstellung eines Grundsatzgutachtens beauftragten Experten.</w:t>
      </w:r>
    </w:p>
    <w:p>
      <w:r>
        <w:rPr>
          <w:b/>
        </w:rPr>
        <w:t>E. 8</w:t>
      </w:r>
    </w:p>
    <w:p>
      <w:r>
        <w:t>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 Art. 32 Abs. 1 KVG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