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248</w:t>
      </w:r>
    </w:p>
    <w:p>
      <w:r>
        <w:t>Bundesgericht (BGE), 2001-06-05, DE</w:t>
      </w:r>
    </w:p>
    <w:p>
      <w:r>
        <w:rPr>
          <w:b/>
        </w:rPr>
        <w:t xml:space="preserve">Quelle: </w:t>
      </w:r>
      <w:r>
        <w:t>https://mcp.opencaselaw.ch/entscheid/bge_BGE_127_V_248</w:t>
      </w:r>
    </w:p>
    <w:p>
      <w:r>
        <w:t>FR: ATF 127 V 248</w:t>
      </w:r>
    </w:p>
    <w:p>
      <w:r>
        <w:t>IT: DTF 127 V 248</w:t>
      </w:r>
    </w:p>
    <w:p>
      <w:pPr>
        <w:pStyle w:val="Heading2"/>
      </w:pPr>
      <w:r>
        <w:t>Regeste</w:t>
      </w:r>
    </w:p>
    <w:p>
      <w:r>
        <w:t>Regeste Art. 3c Abs. 1 lit. c ELG; Art. 197 Abs. 2 Ziff. 2, Art. 207 und 215 ZGB: Anrechnung von Pensionskassenleistungen des Ehegatten. Zur Errungenschaft eines Ehegatten gehörende Vermögenswerte können während der Dauer des Güterstandes bei der Ergänzungsleistungsberechnung nicht als Vermögensanteil des andern Ehegatten berücksichtigt werden.</w:t>
      </w:r>
    </w:p>
    <w:p>
      <w:r>
        <w:t>Regeste Art. 3c al. 1 let. c LPC; art. 197 al. 2 ch. 2, art. 207 et 215 CC: Prise en compte de prestations allouées au conjoint par des caisses de pension. Pendant la durée du régime matrimonial, des biens faisant partie des acquêts d'un conjoint ne peuvent pas être pris en compte dans le calcul de la prestation complémentaire au titre de parts de fortune de l'autre conjoint.</w:t>
      </w:r>
    </w:p>
    <w:p>
      <w:r>
        <w:t>Regesto Art. 3c cpv. 1 lett. c LPC; art. 197 cpv. 2 no. 2, art. 207 e 215 CC: Computo di prestazioni assegnate al coniuge da parte di casse pensioni. Per la durata del regime matrimoniale i beni facenti parte degli acquisti di un coniuge non possono essere presi in considerazione nel calcolo della prestazione complementare quali parti di sostanza dell'altro coniuge.</w:t>
      </w:r>
    </w:p>
    <w:p>
      <w:pPr>
        <w:pStyle w:val="Heading2"/>
      </w:pPr>
      <w:r>
        <w:t>Erwägungen</w:t>
      </w:r>
    </w:p>
    <w:p>
      <w:r>
        <w:rPr>
          <w:b/>
        </w:rPr>
        <w:t>E. 3</w:t>
      </w:r>
    </w:p>
    <w:p>
      <w:r>
        <w:t>Es stellt sich die Frage, ob der Beschwerdeführerin im Rahmen der Ergänzungsleistungsberechnung ein Vermögenswert in Höhe von 67'002 Franken anzurechnen ist. Bei diesem Betrag handelt es sich um die Hälfte der Austrittsleistung von Fr. 134'004.95, welche die Pensionskasse dem in die Türkei ausgereisten Ehemann beim Erreichen des Rentenalters per 30. Juni 1997 ausbezahlt hat. a) Die Vorinstanz vertritt die Auffassung, die vom Ehemann bezogene Kapitalleistung gehöre zu seiner eherechtlichen Errungenschaft, weshalb der Beschwerdeführerin nicht zum Vornherein die Hälfte davon zustehe. Innerhalb der gesetzlichen Schranken könne jeder Ehegatte seine Errungenschaft und sein Eigengut verwalten, BGE 127 V 248 S. 249 nutzen und darüber verfügen. Während der Dauer des Güterstandes habe die Beschwerdeführerin einen anwartschaftlichen Anspruch und im Zeitpunkt der Auflösung stehe ihr eine entsprechende Vorschlagsbeteiligung an den Vermögenswerten ihres Ehegatten zu. Da sich der anwartschaftliche Anspruch in einem entsprechenden Verfahren durchsetzen oder in eine Vorschlagsbeteiligung umwandeln lasse, müsse sich die Versicherte diesen Vermögenswert anrechnen lassen. In masslicher Hinsicht sei im Sinne von Art. 207 ZGB von der Kapitalleistung der beruflichen Vorsorge der Kapitalwert der Rente dem Eigengut des Ehemannes zuzurechnen, während der Beschwerdeführerin eine Vorschlagsteilung am Restbetrag zustehe. Die Rekurskommission wies die Verwaltung an, die anwartschaftliche Vorschlagsberechnung in diesem Sinne vorzunehmen, und hernach über den Anspruch auf Ergänzungsleistungen neu zu befinden. b) Die Beschwerdeführerin bringt dagegen vor, ihr Ehemann habe mit dem Pensionskassengeld in der Türkei eine Eigentumswohnung gekauft und eingerichtet. Seither verfüge er über keine liquiden Mittel mehr, und er sei auf Grund seiner Einkommens- und Vermögenslage weder in der Lage noch gewillt, sie finanziell zu unterstützen. Hinzu komme, dass gestützt auf Art. 10 ELV und die vom Bundesamt für Sozialversicherung herausgegebene Wegleitung über die Ergänzungsleistungen zur AHV und IV (WEL) Einkommen und Vermögen von im Ausland lebenden Ehepartnern bei der Bemessung der Ergänzungsleistung unberücksichtigt zu bleiben hätten. Anzurechnen seien lediglich die familienrechtlichen Unterhaltsleistungen, zu denen der im Ausland lebende Ehegatte verpflichtet sei.</w:t>
      </w:r>
    </w:p>
    <w:p>
      <w:r>
        <w:rPr>
          <w:b/>
        </w:rPr>
        <w:t>E. 4</w:t>
      </w:r>
    </w:p>
    <w:p>
      <w:r>
        <w:t>a) Zu den nach Art. 3c Abs. 1 ELG anrechenbaren Einnahmen zählt unter anderem ein Fünfzehntel des Reinvermögens, soweit es bei Alleinstehenden 25'000 Franken übersteigt (lit. c). Da die Ergänzungsleistungen die Deckung der laufenden Lebensbedürfnisse bezwecken, gilt der Grundsatz, dass bei der Anspruchsberechnung nur tatsächlich vereinnahmte Einkünfte und vorhandene Vermögenswerte zu berücksichtigen sind, über die der Leistungsansprecher ungeschmälert verfügen kann; vorbehalten bleibt der Tatbestand des Vermögensverzichts ( BGE 122 V 24 Erw. 5a mit Hinweisen; ZAK 1989 S. 329 Erw. 3b). b) Leistungen zu Gunsten von Arbeitnehmern im Zusammenhang mit der beruflichen Vorsorge gehören gemäss Art. 197 Abs. 2 Ziff. 2 ZGB zur Errungenschaft. Ebenso gehören Ersatzanschaffungen für BGE 127 V 248 S. 250 diese Leistungen dazu ( Art. 197 Abs. 2 Ziff. 5 ZGB ). Jeder Ehegatte bleibt grundsätzlich frei, sein Eigentum selber zu verwalten und zu nutzen sowie darüber zu verfügen ( Art. 201 Abs. 1 ZGB ). Vorbehalten bleibt allerdings die Pflicht, an den Unterhalt beizutragen (Art. 163 f. ZGB; HEINZ HAUSHEER, in: Kommentar zum Schweizerischen Privatrecht, ZGB I, N 14 f. zu Art. 201). Der Güterstand der Errungenschaftsbeteiligung wird mit dem Tod eines Ehegatten oder mit der Vereinbarung eines anderen Güterstandes aufgelöst ( Art. 204 Abs. 1 ZGB ). Bei Scheidung, Trennung, Ungültigerklärung der Ehe oder gerichtlicher Anordnung der Gütertrennung wird die Auflösung des Güterstandes auf den Tag zurückbezogen, an dem das Begehren eingereicht worden ist ( Art. 204 Abs. 2 ZGB ). Errungenschaft und Eigengut jedes Ehegatten werden nach ihrem Bestand im Zeitpunkt der Auflösung des Güterstandes ausgeschieden ( Art. 207 Abs. 1 ZGB ). Wird die Leistung in Form einer (einmaligen) Kapitalabfindung erbracht und enthält diese kapitalisierte Renten, die sich auf die Zeit nach der Auflösung des Güterstandes beziehen, ist dieser Kapitalanteil gemäss Art. 207 Abs. 2 ZGB dem Eigengut anzurechnen (MARLIES NÄF-HOFMANN, Schweizerisches Ehe- und Erbrecht, Zürich 1998, S. 432 f.; HEINZ HAUSHEER, a.a.O., N 12 zu Art. 207). Was vom Gesamtwert der Errungenschaft, einschliesslich der hinzugerechneten Vermögenswerte und der Ersatzforderungen, nach Abzug der auf ihr lastenden Schulden verbleibt, bildet den Vorschlag ( Art. 210 Abs. 1 ZGB ). c) Der Nettowert aller in der Errungenschaft zusammengefassten Vermögenswerte bildet demnach den Vorschlag eines Ehegatten. Im Hinblick auf deren ergänzungsleistungsrechtliche Behandlung stellt sich die Frage der Rechtsnatur dieser Beteiligungsforderung vor Auflösung des Güterstandes. Dabei gilt es zu berücksichtigen, dass die Vorschlagsberechnung erst bei der güterrechtlichen Auseinandersetzung stattfindet, nachdem ein Auflösungsgrund (z.B. Tod, Scheidung oder Vereinbarung eines andern Güterstandes) eingetreten ist. Vor diesem Zeitpunkt hat kein Gatte Anspruch auf eine Beteiligung am Vorschlag des andern. Von einer Vorschlagsbeteiligung kann nur im Sinne einer Anwartschaft in Form einer ungewissen Aussicht auf einen künftigen Rechtserwerb gesprochen werden. Auf Grund der gegenseitigen Beteiligung am Vorschlag mit gesetzlicher Verrechnung ( Art. 215 Abs. 2 ZGB ) steht nicht einmal fest, welchem Ehegatten letztlich eine Beteiligungsforderung zustehen wird. Über die künftige Beteiligungsforderung kann zwar von Todes wegen verfügt werden, hingegen ist sie während der Dauer BGE 127 V 248 S. 251 des Güterstandes weder abtretbar noch verpfändbar; ebensowenig entspricht sie einem Aktivum, das zur Konkursmasse gezogen werden könnte. Ein Anspruch auf vorzeitige Erfüllung der Beteiligungsforderung besteht vor Auflösung des Güterstandes auch dann nicht, wenn ein Ehegatte dringend auf Geld angewiesen ist. Während der Dauer der Errungenschaftsbeteiligung kann ein Ehegatte als eherechtliche Rechtsgrundlage für vermögensrechtliche Forderungen gegenüber dem andern lediglich Art. 163 ff. und Art. 176 ZGB anrufen (HAUSHEER/REUSSER/GEISER, Berner Kommentar, N 17 zu Art. 215 ZGB ; NÄF-HOFMANN, a.a.O., S. 245). d) Im Lichte dieser Darlegungen erweist sich das Vorgehen von EL-Stelle und Vorinstanz als rechtlich nicht zulässig. Kann der Anspruch eines Ehegatten auf die ihm bei der Auflösung des Güterstandes zustehende Vorschlagsbeteiligung vor diesem Zeitpunkt nicht veräussert oder verwertet werden, stellt dieser Anteil keinen Vermögenswert dar, der im Rahmen der Ergänzungsleistungsberechnung zu berücksichtigen wäre. In den Akten weist nichts darauf hin, dass infolge Trennung eine güterrechtliche Auseinandersetzung stattgefunden hätte. In der Anmeldung zum Bezug von Ergänzungsleistungen vom 30. Juli 1998 gab die Beschwerdeführerin ihren Zivilstand mit "verheiratet" an und in der Verwaltungsgerichtsbeschwerde führt sie aus, ihr Ehemann lebe aus finanziellen Gründen seit Juli 1997 getrennt von der Familie in der Türkei. Da für die Beurteilung die Verhältnisse im Zeitpunkt des Erlasses der Verfügung massgebend sind ( BGE 121 V 366 Erw. 1b mit Hinweisen), braucht nicht geprüft zu werden, wie im Falle einer gerichtlichen Trennung zu urteilen wäre. Auch eine Prüfung der von der Beschwerdeführerin aufgeworfenen Frage, wonach es Art. 10 ELV im vorliegenden Fall verbiete, Anteile am Vermögen des im Ausland lebenden Ehegatten anzurechnen, erübrigt sich unter diesen Umständen.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