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127 V 205</w:t>
      </w:r>
    </w:p>
    <w:p>
      <w:r>
        <w:t>Bundesgericht (BGE), 2001-01-01, DE</w:t>
      </w:r>
    </w:p>
    <w:p>
      <w:r>
        <w:rPr>
          <w:b/>
        </w:rPr>
        <w:t xml:space="preserve">Quelle: </w:t>
      </w:r>
      <w:r>
        <w:t>https://mcp.opencaselaw.ch/entscheid/bge_BGE_127_V_205</w:t>
      </w:r>
    </w:p>
    <w:p>
      <w:r>
        <w:t>FR: ATF 127 V 205</w:t>
      </w:r>
    </w:p>
    <w:p>
      <w:r>
        <w:t>IT: DTF 127 V 205</w:t>
      </w:r>
    </w:p>
    <w:p>
      <w:pPr>
        <w:pStyle w:val="Heading2"/>
      </w:pPr>
      <w:r>
        <w:t>Regeste</w:t>
      </w:r>
    </w:p>
    <w:p>
      <w:r>
        <w:t>Regeste Art. 85 Abs. 2 lit. a und f AHVG: Parteientschädigung an Sozialversicherungsträger. Bezüglich der Voraussetzungen, unter welchen Sozialversicherer bei mutwilliger oder leichtsinniger Prozessführung der versicherten Person im kantonalen Verfahren eine Parteientschädigung geltend machen können, ist analog die Rechtsprechung zur Zusprechung einer Parteientschädigung an eine unverbeiständete Partei (BGE 110 V 134 Erw. 4d) heranzuziehen.</w:t>
      </w:r>
    </w:p>
    <w:p>
      <w:r>
        <w:t>Regeste Art. 85 al. 2 let. a et f LAVS: Indemnité de dépens allouée à des assureurs sociaux. Le point de savoir si les conditions auxquelles des assureurs sociaux peuvent prétendre une indemnité de dépens en procédure cantonale, en cas de recours téméraire ou interjeté à la légère par un assuré, sont réalisées doit être examiné par analogie à la lumière de la jurisprudence concernant l'octroi d'une indemnité de dépens à une partie non représentée par un avocat (ATF 110 V 134 consid. 4d).</w:t>
      </w:r>
    </w:p>
    <w:p>
      <w:r>
        <w:t>Regesto Art. 85 cpv. 2 lett. a e f LAVS: Ripetibili assegnate ad assicuratori sociali. Il tema di sapere se siano adempiuti i presupposti perché assicuratori sociali possano far valere il diritto a ripetibili in sede di procedura cantonale nel caso di ricorso temerario o interposto con leggerezza da parte di un assicurato deve essere esaminato per analogia alla luce della giurisprudenza in materia di riconoscimento di ripetibili a una parte non rappresentata da un avvocato (DTF 110 V 134 consid. 4d).</w:t>
      </w:r>
    </w:p>
    <w:p>
      <w:pPr>
        <w:pStyle w:val="Heading2"/>
      </w:pPr>
      <w:r>
        <w:t>Erwägungen</w:t>
      </w:r>
    </w:p>
    <w:p>
      <w:r>
        <w:rPr>
          <w:b/>
        </w:rPr>
        <w:t>E. 3</w:t>
      </w:r>
    </w:p>
    <w:p>
      <w:r>
        <w:t>a) Das Bundesrecht schreibt den Kantonen in Art. 85 Abs. 2 lit. a AHVG als Regel ein kostenloses Verfahren vor; ausnahmsweise können in Fällen leichtsinniger oder mutwilliger Beschwerdeführung die Verfahrenskosten auferlegt werden. Ferner hat der obsiegende Beschwerdeführer Anspruch auf Ersatz der Kosten der Prozessführung und Vertretung nach gerichtlicher Festsetzung ( Art. 85 Abs. 2 lit. f AHVG ). Der Wendung "obsiegender Beschwerdeführer" liegt die gesetzgeberische Absicht zu Grunde, den Sozialversicherern keinen Anspruch auf Parteientschädigung einzuräumen ( BGE 126 V 150 Erw. 4a; RKUV 1990 Nr. U 98 S. 195; vgl. auch BGE 127 V 199 Erw. 2d/aa, BGE 108 V 111 ). Der in allen Sozialversicherungszweigen gesetzlich festgeschriebene Grundsatz der Kostenfreiheit ist ein tragendes Prinzip des Sozialversicherungsprozesses, das der oft sozial schwachen Partei die Möglichkeit einräumen will, ihre Rechte oder Ansprüche auf Leistungen der Sozialversicherung gegen einen öffentlich-rechtliche Aufgaben wahrnehmenden Sozialversicherer gerichtlich durchzusetzen. Die Kostenfreiheit würde weitgehend ihres Gehaltes entleert, wenn die versicherte Person im Unterliegensfall damit rechnen muss, zwar keine Gerichtskosten, hingegen eine hohe Parteientschädigung an den obsiegenden Sozialversicherer zu bezahlen. In BGE 126 V 151 Erw. 4b hat das Eidg. Versicherungsgericht seine bisherige Rechtsprechung dahin gehend präzisiert, dass eine Ausnahme von diesem allgemeinen Prozessgrundsatz für sämtliche Sozialversicherungszweige für Fälle vorzusehen ist, in denen Versicherten mutwillige oder leichtsinnige Prozessführung vorzuwerfen ist. b) Liegt der grundsätzliche Anspruch auf eine Parteientschädigung nach Art. 85 Abs. 2 lit. f AHVG im Streit, prüft das Eidg. Versicherungsgericht als Frage des Bundesrechts frei, ob eine Partei, die in eigener Sache auftritt, für ihre eigenen Bemühungen Anspruch auf eine Parteientschädigung hat ( BGE 110 V 134 Erw. 4b; ebenso mit Bezug auf eine Treuhandfirma: ZAK 1989 S. 253 Erw. 4a und S. 257 Erw. 5c).</w:t>
      </w:r>
    </w:p>
    <w:p>
      <w:r>
        <w:rPr>
          <w:b/>
        </w:rPr>
        <w:t>E. 4</w:t>
      </w:r>
    </w:p>
    <w:p>
      <w:r>
        <w:t>a) Unter Berufung auf die in BGE 126 V 151 Erw. 4b präzisierte Rechtsprechung macht die Ausgleichskasse - wie bereits im vorinstanzlichen Verfahren - die Zusprechung einer Parteientschädigung geltend. Das kantonale Gericht hat den Anspruch BGE 127 V 205 S. 207 verneint, da der prozessuale Aufwand der Sozialversicherungsanstalt derart gering gewesen sei, dass es sich nicht aufdränge, ihr eine Entschädigung zuzusprechen. In der Verwaltungsgerichtsbeschwerde bringt die Kasse vor, es sei nicht nachvollziehbar, warum das kantonale Gericht einen grösseren Aufwand gehabt haben sollte als die Verwaltung, zumal es der Begründung in der Vernehmlassung ohne Weiterungen gefolgt sei. Den gesteigerten Aufwand begründet sie damit, dass sich nebst dem Rechtsdienst auch der zuständige Sachbearbeiter, die Abteilung Beiträge und die Buchhaltung mit dem Fall hätten beschäftigen müssen. b) Das Eidg. Versicherungsgericht hat sich in BGE 126 V 151 Erw. 4b nicht dazu geäussert, unter welchen Voraussetzungen der Sozialversicherer bei mutwilliger oder leichtsinniger Prozessführung der versicherten Person im kantonalen Verfahren eine Parteientschädigung geltend machen kann. Es rechtfertigt sich jedoch, von den in BGE 110 V 134 Erw. 4d gemachten Ausführungen zur Zusprechung einer Parteientschädigung an eine unverbeiständete Partei auszugehen. Danach ist für persönlichen Arbeitsaufwand und Umtriebe keine Parteientschädigung zu gewähren, wobei aber ausnahmsweise von diesem Grundsatz abgewichen werden darf, wenn besondere Verhältnisse gegeben sind. Eine solche Ausnahmesituation ist anzunehmen, wenn folgende Voraussetzungen kumulativ gegeben sind: Es muss sich um eine komplizierte Sache mit hohem Streitwert handeln. Ferner muss die Interessenwahrung einen hohen Arbeitsaufwand notwendig machen, der den Rahmen dessen überschreitet, was der einzelne üblicher- und zumutbarerweise nebenbei zur Besorgung der persönlichen Angelegenheiten auf sich zu nehmen hat; erforderlich ist somit ein Arbeitsaufwand, welcher die normale (z.B. erwerbliche) Betätigung während einiger Zeit erheblich beeinträchtigt. Und schliesslich hat zwischen dem betriebenen Aufwand und dem Ergebnis der Interessenwahrung ein vernünftiges Verhältnis zu bestehen ( BGE 110 V 82 Erw. 7 und 135 Erw. 4d; vgl. auch AHI 2000 S. 330 Erw. 5). Ob die dargelegten Voraussetzungen für die Zusprechung einer Parteientschädigung kumulativ erfüllt sind, beurteilt sich nach den konkreten Verhältnissen der Partei, welche eine Entschädigung geltend macht (ZAK 1989 S. 257 Erw. 5c). c) Die Ausgleichskassen haben nach Art. 63 AHVG unter anderem die Beitragspflichtigen zu erfassen, Beiträge zu bestimmen und zu erheben, Leistungen zu bemessen und zu entrichten und Veranlagungsverfügungen zu erlassen. Diese Tätigkeit bringt es mit BGE 127 V 205 S. 208 sich, dass sie gegebenenfalls auch im Rechtsmittelverfahren den Standpunkt der Sozialversicherung vertreten müssen. Unter diesem Blickwinkel handelt es sich bei der geltend gemachten Verzugszinsforderung nicht um eine komplexe tatsächliche oder rechtliche Fragen aufwerfende und daher komplizierte Sache, sodass sich der erforderliche Arbeitsaufwand, insbesondere die Ausarbeitung der entsprechend kurz gehaltenen Vernehmlassung vom 30. Oktober 2000 in Grenzen hielt und jedenfalls nicht den Rahmen dessen sprengte, was normalerweise in einem analogen Fall erforderlich ist. Wohl hätte sich das Verfahren erübrigt, wenn der Beitragspflichtige der Verzugszinsverfügung Folge geleistet hätte, nachdem er bereits in der Zahlungsaufschubsbewilligung auf die Zinspflicht hingewiesen worden war. Allein dies ist jedoch nicht entscheidend, denn die Prozessführung gehört zum Risiko einer verfügungsberechtigten Verwaltung. Zudem gilt es, die mutwillige oder leichtsinnige Beschwerdeführung der Partei, welche mit einer Kostenauferlegung im Sinne von Art. 85 Abs. 2 lit. a AHVG sanktioniert werden kann, zu unterscheiden vom Entschädigungsanspruch gemäss Art. 85 Abs. 2 lit. f AHVG , welcher sich nach den in Erwägung 4b angeführten Kriterien beurteilt. Demnach kann aus der Höhe der vom kantonalen Gericht einer Partei auferlegten Kosten nicht geschlossen werden, die Gegenpartei müsse in etwa im gleichen Umfang entschädigt werden. Lit. a und lit. f der genannten Bestimmung haben nur insofern etwas gemeinsam, als bei Kostenfreiheit ein Entschädigungsanspruch zum Vornherein entfällt, während ein solcher bei Kostenpflicht unter gewissen Voraussetzungen gegeben sein kann (vgl. BGE 126 V 151 Erw. 4c). Da die Voraussetzungen für die ausnahmsweise Zusprechung einer Entschädigung für Arbeitsaufwand und Umtriebe nicht gegeben sind, hat das kantonale Gericht der Kasse richtigerweise keinen Anspruch auf entsprechenden Ersatz zuerkannt.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