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196</w:t>
      </w:r>
    </w:p>
    <w:p>
      <w:r>
        <w:t>Bundesgericht (BGE), 2001-01-01, DE</w:t>
      </w:r>
    </w:p>
    <w:p>
      <w:r>
        <w:rPr>
          <w:b/>
        </w:rPr>
        <w:t xml:space="preserve">Quelle: </w:t>
      </w:r>
      <w:r>
        <w:t>https://mcp.opencaselaw.ch/entscheid/bge_BGE_127_I_196</w:t>
      </w:r>
    </w:p>
    <w:p>
      <w:r>
        <w:t>FR: ATF 127 I 196</w:t>
      </w:r>
    </w:p>
    <w:p>
      <w:r>
        <w:t>IT: DTF 127 I 196</w:t>
      </w:r>
    </w:p>
    <w:p>
      <w:pPr>
        <w:pStyle w:val="Heading2"/>
      </w:pPr>
      <w:r>
        <w:t>Regeste</w:t>
      </w:r>
    </w:p>
    <w:p>
      <w:r>
        <w:t>Regeste Art. 29 Abs. 1 BV. Anspruch auf einen unabhängigen und unbefangenen Untersuchungsrichter. Die Unabhängigkeit eines Untersuchungsrichters, der seine Strafuntersuchungs- und Anklagefunktion wahrnimmt, beurteilt sich nicht nach Art. 30 Abs. 1 BV und Art. 6 Ziff. 1 EMRK, sondern nach Art. 29 Abs. 1 BV. Gehalt von Art. 29 Abs. 1 BV in diesem Zusammenhang (E. 2b). Rechtsprechung über die Ausstandspflicht von Untersuchungsrichtern wegen vorverurteilender Äusserungen im Strafuntersuchungsverfahren (E. 2d und e).</w:t>
      </w:r>
    </w:p>
    <w:p>
      <w:r>
        <w:t>Regeste Art. 29 al. 1 Cst. Droit à un juge d'instruction indépendant et impartial. L'indépendance du juge d'instruction exerçant les fonctions de l'instruction et de l'accusation dans une procédure pénale ne s'examine pas au regard des art. 30 al. 1 Cst. et art. 6 par. 1 CEDH, mais à la lumière de l'art. 29 al. 1 Cst. Portée de cette dernière disposition dans ce contexte (consid. 2b). Jurisprudence relative à l'obligation du juge d'instruction de se récuser pour des propos dénotant un préjugé, tenus au cours de la procédure pénale (consid. 2d et e).</w:t>
      </w:r>
    </w:p>
    <w:p>
      <w:r>
        <w:t>Regesto Art. 29 cpv. 1 Cost. Diritto a un giudice istruttore indipendente e imparziale. L'indipendenza di un giudice istruttore che esercita le funzioni di istruzione e di accusa non si esamina dal profilo dell'art. 30 cpv. 1 Cost. e dell'art. 6 n. 1 CEDU, bensì da quello dell'art. 29 cpv. 1 Cost. Portata dell'art. 29 cpv. 1 Cost. in quest'ambito (consid. 2b). Giurisprudenza sull'obbligo del giudice istruttore di ricusarsi per dichiarazioni rese nella fase istruttoria del procedimento penale e suscettibili di denotare un suo pregiudizio (consid. 2d ed e).</w:t>
      </w:r>
    </w:p>
    <w:p>
      <w:pPr>
        <w:pStyle w:val="Heading2"/>
      </w:pPr>
      <w:r>
        <w:t>Erwägungen</w:t>
      </w:r>
    </w:p>
    <w:p>
      <w:r>
        <w:rPr>
          <w:b/>
        </w:rPr>
        <w:t>E. 2</w:t>
      </w:r>
    </w:p>
    <w:p>
      <w:r>
        <w:t>a) Der Beschwerdeführer rügt, die Strafkammer habe zu Unrecht verneint, dass Untersuchungsrichter C. befangen und daher BGE 127 I 196 S. 198 zum Ausstand verpflichtet sei. Der Untersuchungsrichter habe die von den Zürcher Behörden hinsichtlich des Betrugsvorwurfs geführte Untersuchung in einem Schreiben vom 31. Oktober 1997 an seinen Verteidiger als mangelhaft bezeichnet. Dessen ungeachtet habe er nichts unternommen, um die Mängel zu beheben. Er habe lediglich ihn, den Beschwerdeführer, und seinen angeblichen Komplizen (im Folgenden nur als "Komplize" bezeichnet), der geständig sei und ihn belaste, einvernommen. Trotzdem habe er aber erklärt, dass er, der Beschwerdeführer, gut im Betrügen sei. Diese Äusserung lasse objektiv Zweifel an der Unbefangenheit des Untersuchungsrichters aufkommen. Der Entscheid der Strafkammer verletze daher Art. 30 BV . b) Nach der materiell unverändert von Art. 58 aBV in Art. 30 Abs. 1 BV überführten, ebenfalls in Art. 6 Ziff. 1 EMRK (SR 0.101)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BGE 125 I 119 E. 3a; BGE 120 Ia 184 E. 2b). Art. 30 Abs. 1 BV und Art. 6 Ziff. 1 EMRK sind bei der Ablehnung eines Untersuchungsrichters oder eines Vertreters der Staatsanwaltschaft nur anwendbar, wenn diese ausnahmsweise in richterlicher Funktion tätig werden und die Rolle eines eigentlichen Richters einnehmen. Nehmen sie jedoch, wie hier, ihre Funktion als Strafuntersuchungs- oder Anklagebehörde wahr, ist die Ausstandspflicht ausschliesslich aufgrund von Art. 29 Abs. 1 BV zu beurteilen (vgl. zu Art. 4 aBV : BGE 124 I 76 ; BGE 119 Ia 13 E. 3a; BGE 118 Ia 95 E. 3b; BGE 112 Ia 142 E. 2a und b S. 144 ff.). Wohl darf der Gehalt von Art. 30 Abs. 1 BV nicht unbesehen auf nicht richterliche Behörden bzw. auf Art. 29 Abs. 1 BV übertragen werden (vgl. BGE 125 I 119 E. 3 S. 122 ff., insbesondere E. 3e [zu Art. 58 aBV ]; Urteil des Bundesgerichts vom 19. Mai 1998 i.S. B., in: ZBl 100/1999 S. 74 ff., E. 2b). Hinsichtlich der Unparteilichkeit des Untersuchungsrichters im Sinne von Unabhängigkeit und Unbefangenheit kommt Art. 29 Abs. 1 BV allerdings ein mit Art. 30 Abs. 1 BV weitgehend übereinstimmender Gehalt zu. Ebenso wie ein Staatsanwalt kann auch ein Untersuchungsrichter abgelehnt werden, wenn Umstände vorliegen, welche nach objektiven Gesichtspunkten BGE 127 I 196 S. 199 geeignet sind, den Anschein der Befangenheit zu erwecken ( BGE 112 Ia 142 E. 2d S. 147; HAUSER/SCHWERI, Schweizerisches Strafprozessrecht, 3. Aufl., Zürich 1997, § 30 Rz. 4a; REGINA KIENER, Richterliche Unabhängigkeit, Bern 2001, S. 82). c) Die Strafkammer erwog, aufgrund der detaillierten und über Jahre hinweg nur unwesentlich voneinander abweichenden und glaubhaft wirkenden Ausführungen des Komplizen des Beschwerdeführers habe der Untersuchungsrichter zumindest für zwei Fälle, die sich in Zürich ereigneten, von der Täterschaft des Beschwerdeführers ausgehen können. Die in diesen Fällen angeblich geschädigten Personen seien zwar nicht vom Untersuchungsrichter persönlich, jedoch, nebst Auskunftspersonen, von der Zürcher Polizei einvernommen worden. Die gerügte Bemerkung des Untersuchungsrichters müsse als unbedacht und unnötig bezeichnet werden. Aufgrund des jetzigen Standes des Verfahrens habe er jedoch davon ausgehen dürfen, dass die Tatbestandsmerkmale des Betrugs erfüllt seien, und somit der dem Beschwerdeführer vorgeworfene Sachverhalt als Betrug zu qualifizieren sei. Dies umso mehr als die Untersuchung vor ihrem Abschluss stehe. Es lägen keine Anhaltspunkte vor, dass es dem Untersuchungsrichter vorliegend an der notwendigen Offenheit fehlen würde, die Beurteilung des Prozessstoffes im weiteren Verlauf des Verfahrens allenfalls zu überprüfen und bei Vorliegen neuer Tatsachen und Argumente zu revidieren. d) 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Wie das Bundesgericht (noch zu Art. 58 aBV ) festgehalten hat, wäre aber - angesichts der Bedeutung des Anspruchs auf einen unparteiischen und unabhängigen Richter - eine allzu restriktive Auslegung und Anwendung der entsprechenden Garantien nicht zu vertreten ( BGE 114 Ia 153 E. 3 S. 155). Ähnliches muss auch für den Untersuchungsrichter gelten: Der Untersuchungsrichter hat den belastenden und den entlastenden Umständen mit gleicher Sorgfalt nachzugehen und ist dabei zur Unabhängigkeit und Unparteilichkeit verpflichtet. Er hat auch nach Vornahme der Untersuchungshandlungen völlig unabhängig und unparteiisch zu prüfen, ob die Voraussetzungen für eine Anklageerhebung gegeben sind (vgl. BGE 112 Ia 142 E. 2b S. 145; BGE 127 I 196 S. 200 HAUSER/SCHWERI, a.a.O., § 30 Rz. 4a; für die Strafverfolgung im Kanton Freiburg: Art. 3 i.V.m. Art. 11 der Strafprozessordnung des Kantons Freiburg vom 14. November 1996 [StPO/FR]). Er darf sich vor Abschluss der Untersuchung grundsätzlich nicht darauf festlegen, dass dem Angeschuldigten ein strafbares Verhalten zur Last zu legen sei. Entsprechend hat er sich vorverurteilender Äusserungen zu enthalten (vgl. Urteil 1P.766/2000 des Bundesgerichts vom 18. Mai 2001, E. 9 und 10). In Fällen mit grosser Publizität kann sich in jedem Untersuchungsstadium die Situation ergeben, dass der Untersuchungsrichter bereits vor Abschluss des Verfahrens in rechtlicher oder tatsächlicher Hinsicht zum Gegenstand der Untersuchung Stellung nimmt und dabei unter Umständen auch seine persönliche - aufgrund des jeweiligen Verfahrensstandes vorläufig gebildete - Meinung offen legt. Dabei darf und muss, sofern nicht besondere, anders lautende Anzeichen vorhanden sind, vorausgesetzt werden, dass der Untersuchungsrichter in der Lage ist, seine Beurteilung des Prozessstoffes im Verlaufe des Verfahrens entsprechend dem jeweils neuesten Stand des Verfahrens ständig neu zu überprüfen und bei Vorliegen neuer Tatsachen und Argumente auch zu revidieren. Eine solche, jeder untersuchungsrichterlichen Tätigkeit innewohnende - vorläufige - Verarbeitung und Wertung des im betreffenden Verfahrensstadium vorhandenen Prozessstoffes vermag grundsätzlich keine Vorverurteilung oder Befangenheit zu begründen (Urteil 8G.36/2000 des Bundesgerichts vom 25. September 2000, E. 3c). Ebenso vermögen ungeschickte Äusserungen eines Untersuchungsrichters gegenüber der Presse über den Ausgang einer durch den Beschuldigten gegen seine Anordnungen erhobene Beschwerde keine Befangenheit des Untersuchungsrichters zu begründen, wenn sich diese nicht gegen die Person des Beschuldigten richten und sofern es sich nicht um eine schwere Verfehlung handelt. Auch scherzhafte Äusserungen des (Untersuchungs-)Richters genügen in der Regel nicht, einen Verdacht der Parteilichkeit zu begründen, selbst wenn sie deplaziert sind und vom Betroffenen als negativ empfunden werden mögen ( BGE 116 Ia 14 E. 6; Urteil des Bundesgerichts vom 26. Juni 1996 i.S. U., in: ZBl 98/1997 S. 515 ff., E. 4c). Eine gewisse Gefahr der Befangenheit besteht insbesondere, wenn der Beschuldigte nicht geständig ist bzw. ein abgelegtes Geständnis widerruft sowie bei lang dauernden Strafuntersuchungen; in diesen Fällen sind deshalb an die Ablehnbarkeit keine hohen Anforderungen zu stellen und ein Ausstandsgrund anzunehmen, wenn objektive BGE 127 I 196 S. 201 Anzeichen für eine Voreingenommenheit des Untersuchungsrichters bestehen (vgl. BGE 104 Ia 271 E. 3a; Urteil 8G.36/2000 des Bundesgerichts vom 25. September 2000, E. 3c; HAUSER/SCHWERI, a.a.O., § 30 Rz. 4a). Anlass zu Zweifeln an der Unbefangenheit eines Untersuchungsrichters besteht beispielsweise dort, wo sich aus seinen Äusserungen ergibt, dass er das Verhalten des Angeschuldigten im Verfahren voreilig als Betrug qualifiziert hat oder wo er ohne besonderen Anlass über den Untersuchungsgegenstand hinausgehende Verdächtigungen gegen den Angeschuldigten geäussert hat (Urteil 1P.766/2000 des Bundesgerichts vom 18. Mai 2001, E. 8 und 9). Die Befangenheit des Untersuchungsrichters hat das Bundesgericht sodann in einem Fall bejaht, in dem dieser bestimmte Beweismittel ohne besonderen Anlass gegenüber Dritten und gegenüber der Öffentlichkeit gewürdigt, sich auf eine Diskussion darüber eingelassen und den Angeschuldigten dabei indirekt der Lüge bezichtigt hatte, was tendenziell auf eine Vorverurteilung hinauslief (Urteil 8G.36/2000 des Bundesgerichts vom 25. September 2000, E. 4b). Auch gegen die Person einer Verfahrenspartei gerichtete, negative Bemerkungen können den Anschein der Befangenheit entstehen lassen: Bezeichnet beispielsweise ein Richter eine Partei in einem Verwaltungsverfahren - wenn auch angeblich zur Auflockerung der Verhandlungsatmosphäre - als "agitateur", so besteht für sie objektiver Anlass zu Zweifeln, ob der Richter in einem Verfahren mit dem Staat als Gegenpartei unbefangen sei (Urteil 1P.273/2000 des Bundesgerichts vom 19. Juli 2000, E. 2). e) Im Lichte der vorstehenden Erwägungen, sieht der Beschwerdeführer in der beanstandeten Äusserung des Untersuchungsrichters: "Sie waren immer gut, nicht nur als Betrüger, sondern auch als Zahntechniker" mit Recht einen Umstand, der vorliegend objektiv geeignet ist, Zweifel an dessen Unbefangenheit zu erwecken. Der Untersuchungsrichter hat den Beschwerdeführer damit im Rahmen der Einvernahme in vorverurteilender Weise indirekt als Betrüger bezeichnet, ohne dass für eine entsprechende Äusserung ein ersichtlicher Anlass bestand. Selbst wenn aufgrund der Akten gewichtige Anhaltspunkte für die Annahme bestehen mögen, dass sich der Beschwerdeführer des Betrugs schuldig gemacht haben könnte, hat der Untersuchungsrichter damit die gebotene Sachlichkeit und Distanz zur Sache vermissen lassen. Daran ändert nichts, dass die Äusserung in der gleichen Einvernahme erfolgte, in welcher der Untersuchungsrichter erklärte, die Untersuchung sei als BGE 127 I 196 S. 202 abgeschlossen zu betrachten. Dies umso weniger als der Untersuchungsrichter gleichzeitig Frist ansetzte, um weitere Beweismittel einzureichen. Er hat mit seiner Äusserung in einer Weise vorweg zum Ausgang des Verfahrens Stellung bezogen, dass für den Beschwerdeführer aus objektiven Gründen Anlass besteht, daran zu zweifeln, ob der Untersuchungsrichter willens sei, seine vorläufig gebildete Meinung nötigenfalls zu revidieren und bei einer bevorstehenden Anklageerhebung den entlastenden Tatsachen in gleicher Weise Rechnung zu tragen wie den belastenden (vgl. Art. 3 und 11 StPO /FR; HAUSER/SCHWERI, a.a.O., § 37 Rz. 2 ff.).</w:t>
      </w:r>
    </w:p>
    <w:p>
      <w:r>
        <w:rPr>
          <w:b/>
        </w:rPr>
        <w:t>E. 3</w:t>
      </w:r>
    </w:p>
    <w:p>
      <w:r>
        <w:t>Die staatsrechtliche Beschwerde ist daher wegen Verletzung von Art. 29 Abs. 1 BV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