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20</w:t>
      </w:r>
    </w:p>
    <w:p>
      <w:r>
        <w:t>Bundesgericht (BGE), 2000-01-01, DE</w:t>
      </w:r>
    </w:p>
    <w:p>
      <w:r>
        <w:rPr>
          <w:b/>
        </w:rPr>
        <w:t xml:space="preserve">Quelle: </w:t>
      </w:r>
      <w:r>
        <w:t>https://mcp.opencaselaw.ch/entscheid/bge_BGE_127_IV_20</w:t>
      </w:r>
    </w:p>
    <w:p>
      <w:r>
        <w:t>FR: ATF 127 IV 20</w:t>
      </w:r>
    </w:p>
    <w:p>
      <w:r>
        <w:t>IT: DTF 127 IV 20</w:t>
      </w:r>
    </w:p>
    <w:p>
      <w:pPr>
        <w:pStyle w:val="Heading2"/>
      </w:pPr>
      <w:r>
        <w:t>Regeste</w:t>
      </w:r>
    </w:p>
    <w:p>
      <w:r>
        <w:t>Regeste Art. 4 Abs. 2 Rahmenabkommen über die Grenzabfertigung mit Deutschland; Art. 3 und 305bis StGB; Geldwäscherei durch versteckten Geldtransport über die Landesgrenze, örtliche Zuständigkeit und anwendbares Recht. Nach dem Rahmenabkommen sind die Schweizer Behörden zur Strafverfolgung zuständig und schweizerisches Recht anwendbar, wenn das strafbare Verhalten mit dem Grenzübertritt in Zusammenhang steht. Bei Geldwäscherei durch internationale Geldtransporte kann die Strafverfolgung auch im Transitstaat erfolgen (E. 2). Geldwäscherei ist gegeben, wenn aus dem Drogenhandel stammendes Geld in einem Fahrzeug versteckt und über die Grenze gebracht wird (E. 3).</w:t>
      </w:r>
    </w:p>
    <w:p>
      <w:r>
        <w:t>Regeste Art. 4 al. 2 de la Convention avec la République fédérale d'Allemagne sur les contrôles à la frontière; art. 3 et 305bis CP; blanchiment d'argent par le transport, à travers la frontière, de fonds dissimulés; compétence locale et droit applicable. Selon la Convention, les autorités suisses sont compétentes et le droit suisse est applicable lorsque le comportement délictueux est lié au franchissement de la frontière. En matière de blanchiment d'argent, par un transport international de fonds, la poursuite pénale peut avoir lieu également dans l'Etat de transit (consid. 2). Il y a blanchiment d'argent lorsque des fonds provenant du trafic de stupéfiants sont dissimulés dans un véhicule et transportés de l'autre côté de la frontière (consid. 3).</w:t>
      </w:r>
    </w:p>
    <w:p>
      <w:r>
        <w:t>Regesto Art. 4 cpv. 2 della Convenzione con la Repubblica federale di Germania relativa agli uffici a controlli nazionali abbinati e al controllo in corso di viaggio; art. 3 e 305bis CP; riciclaggio di denaro per mezzo del trasporto, attraverso il confine, di averi occultati; competenza locale e diritto applicabile. Secondo la Convenzione, le autorità svizzere sono competenti e il diritto svizzero è applicabile quando l'attraversare un confine fa parte del comportamento punibile. In materia di riciclaggio di denaro per mezzo di trasporti internazionali di valori patrimoniali l'azione penale può essere promossa ugualmente nello Stato di transito (consid. 2). I presupposti del reato di riciclaggio sono adempiuti quando dei valori patrimoniali, proventi di un traffico di stupefacenti, sono occultati in un veicolo e trasportati al di là del confine (consid. 3).</w:t>
      </w:r>
    </w:p>
    <w:p>
      <w:pPr>
        <w:pStyle w:val="Heading2"/>
      </w:pPr>
      <w:r>
        <w:t>Erwägungen</w:t>
      </w:r>
    </w:p>
    <w:p>
      <w:r>
        <w:rPr>
          <w:b/>
        </w:rPr>
        <w:t>E. 2</w:t>
      </w:r>
    </w:p>
    <w:p>
      <w:r>
        <w:t>Der Beschwerdeführer bestreitet die örtliche Zuständigkeit der schweizerischen Behörden zur strafrechtlichen Verfolgung und Beurteilung des Vorwurfs der Geldwäscherei, da die Grenzkontrolle auf deutschem Gebiet stattgefunden hat. Seiner Ansicht nach hat der Beschwerdeführer nicht gegen schweizerische Vorschriften zur Grenzabfertigung im Sinne von Art. 4 Abs. 1 und Art. 2 Ziff. 1 des Rahmenabkommens verstossen, womit auch keine Zuständigkeit der Schweiz nach Art. 4 des Rahmenabkommens begründet werden könne; es gelte ausschliesslich das Strafrecht des Gebietsstaates, hier Deutschland. a) Die Vorinstanz bejaht die Zuständigkeit der schweizerischen Behörden und die Anwendbarkeit schweizerischen Rechts gestützt auf Art. 4 und Art. 2 Ziff. 1 des Rahmenabkommens. Im vorliegenden Fall handle es sich um ein im Zusammenhang mit dem Grenzübertritt begangenes Delikt, welches gleich zu behandeln sei wie ein auf dem Gebiet der Schweiz begangenes Delikt. b) aa) Grenzabfertigung im Sinne des Rahmenabkommens bedeutet die Anwendung aller Rechts- und Verwaltungsvorschriften der beiden Staaten, die sich auf den Grenzübertritt von Personen sowie die Ein-, Aus- und Durchfuhr von Waren, Fahrzeugen und anderen Vermögensgegenständen beziehen (Art. 2 Ziff. 1). Sie wird von den Bediensteten des Nachbarstaates im gleichen Umfang und mit den gleichen Folgen wie in ihrem Land durchgeführt (Art. 4 Abs. 1). Die Strafgerichtsbarkeit bei Verstössen gegen Rechts- und Verwaltungsvorschriften, die sich auf die Grenzabfertigung beziehen, wird ebenfalls von den Behörden des Nachbarstaates ausgeübt (Art. 4 Abs. 2). Im Übrigen gilt in der Zone jedoch das Recht des Gebietsstaates (Art. 4 Abs. 3). Festnahmen dürfen nur wegen Zuwiderhandlung gegen die Vorschriften über die Grenzabfertigung des Nachbarstaates erfolgen, oder wenn Personen von den Behörden des Nachbarstaates gesucht werden (Art. 4 Abs. 1). Angehörige des Gebietsstaates dürfen auf dessen Gebiet nicht festgenommen und in den Nachbarstaat verbracht werden, sondern nur zur Feststellung BGE 127 IV 20 S. 23 des Tatbestandes vorgeführt werden, wobei ein Bediensteter des Gebietsstaates beizuziehen ist (Art. 5 Abs. 1). bb) Das Rahmenabkommen wurde zur Beschleunigung und Vereinfachung der beiderseitigen Grenzabfertigungen geschaffen. Es bildet die notwendige staatsvertragliche Grundlage, damit die Zoll- und Polizeiorgane ihre Aufgaben mit den gleichen Befugnissen wie auf eigenem Staatsgebiet erfüllen können. In zwei gleich lautenden, nicht veröffentlichten Entscheiden von 1988 ist das Bundesgericht zum Schluss gelangt, dass nichts gegen eine teleologische Auslegung von Staatsverträgen spricht und der Begriff der Grenzabfertigung des Rahmenabkommens weit auszulegen ist: "Der Zweck des Abkommens, den Übergang über die gemeinsame Grenze zu erleichtern, ergibt sich aus der Präambel. Dieses Ziel wollen die beiden Staaten erreichen, indem sie nebeneinander liegende Grenzabfertigungsstellen errichten und die zuständigen Bediensteten des einen Staates ermächtigen, ihre Befugnisse auf dem Gebiet des andern Staates auszuüben (Art. 1 Abs. 2 lit. a und c). Da diese Befugnisse lediglich im Rahmen des Abkommens ausgeübt werden können (lit. c), ergibt sich auch hieraus nichts für die Auslegung des Art. 2 Ziff. 1. (...) Aus (der) Botschaft ergibt sich, dass eine Zusammenlegung der Grenzabfertigungsstellen nur unter der Bedingung als sinnvoll und zweckmässig erachtet wird, dass der Nachbarstaat in der Zone nebst den Zoll- auch seine Polizeikontrollen durchführen kann.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(SR 63) fallen, sondern auch Vorschriften nicht zollrechtlicher Bundeserlasse (vgl. Art. 59 Zollgesetz vom 1. Oktober 1925, [ZG; SR 631.0]). Mit Ausnahme von Art. 5 Abs. 1 des Abkommens ist übrigens nicht ersichtlich, dass mit dem Staatsvertrag eine Beschränkung der Befugnisse der Zollorgane vorgenommen werden sollte." (Auszug aus dem nicht veröffentlichten Urteil vom 10. Juni 1988 i.S. Eidgenössische Zollverwaltung gegen D., 6S.5/1988, E. 5b). Den Reisenden entsteht durch die Verlegung der Grenzkontrolle in ein fremdes Territorium rechtlich gesehen kein Nachteil. Ob sie bei der Ein- und Ausreise an der Grenze selbst, in einem fahrenden Zug oder bei einem auf dem Gebiet des Nachbarstaates gelegenen Grenzposten kontrolliert werden, bildet keinen wesentlichen Unterschied (Botschaft des Bundesrates zum Rahmenabkommen, BBl 1963 II 1053 ff. mit Verweis auf BBl 1961 I 726 ff.). Die Grenzbeamten müssen ihre Tätigkeit somit nicht auf rein zollrechtliche Belange beschränken. Zu ihrer Tätigkeit gehört zum Beispiel auch BGE 127 IV 20 S. 24 die Kontrolle der Verkehrstüchtigkeit und vorgeschriebenen Ausstattung der Fahrzeuge ( Art. 136 Abs. 1 der Verordnung über die Zulassung von Personen und Fahrzeugen zum Strassenverkehr vom 27. Oktober 1997 [VZV; SR 741.51] , was auch die Strafverfolgung im Falle verbotener Zubehörteile umfasst; nicht veröffentlichtes Urteil vom 18. Dezember 1998 i.S. A., E. 3), oder der Einzug von Gebühren und Bussen bei Fehlen der Autobahn-Vignette (erwähntes Urteil vom 10. Juni 1988 E. 6; Art. 9 Abs. 2 Verordnung über die Abgabe für die Benutzung von Nationalstrassen [NSAV] vom 26. Oktober 1994, SR 741.72). Ebenfalls zu ihren Aufgaben gehört die Hilfestellung bei der Strafverfolgung im Allgemeinen. Entscheidend ist der Zusammenhang des strafbaren Verhaltens mit dem Grenzübertritt von Personen oder der Ein-, Aus- oder Durchfuhr von Vermögensgegenständen (Art. 4 Abs. 2 Rahmenabkommen; HANS SCHULTZ, Gesetzgebung und Rechtsprechung der Schweiz im internationalen Strafrecht 1964 bis 1966, Schweizerisches Jahrbuch für internationales Recht (SJIR), Band XXIII, 1966 S. 171). cc) Im vorliegenden Fall sind bei der Grenzkontrolle im Mietwagen des Beschwerdeführers versteckt grössere Bargeldbeträge gefunden worden, deren vermutete kriminelle Herkunft ein Ermittlungsverfahren und eine strafrechtliche Beurteilung durch die schweizerischen Behörden ausgelöst haben. Das Verschieben von Vermögenswerten vom Ausland in die Schweiz kann objektiv betrachtet eine Einziehung verunmöglichen (JÜRG-BEAT ACKERMANN, Art. 305bis StGB , in: Kommentar Einziehung, organisiertes Verbrechen, Geldwäscherei, Zürich 1998, Bd. I, S. 527 f. N. 317). Damit steht der strafrechtliche Vorwurf in einem engen Zusammenhang zum Grenzübertritt des Beschwerdeführers beziehungsweise der Einfuhr des Bargeldes. Es handelt sich nicht um eine Tat, deren Zusammenhang mit dem Grenzübertritt zufällig ist (wie etwa im vom Beschwerdeführer angeführten Beispiel eines Diebstahls in der Wartekolonne vor dem Grenzübergang); der Grenzübertritt ist hier Teil des Tatbestandes, der Rechtspflege einziehbare Vermögenswerte zu entziehen (vgl. auch nachstehend E. 3). Das schliesst nicht notwendigerweise aus, dass im vorliegenden Fall auch die deutschen Behörden zur Strafverfolgung hätten zuständig sein können. Die Schweizer Beamten hätten keine Rechtsvorschrift verletzt, wenn sie den Beschwerdeführer mit den beschlagnahmten Geldern den deutschen Behörden übergeben hätten. Ihr Vorgehen war nicht ohne Risiko, da bei ungenügendem Bezug der Straftat zum Grenzübertritt die vorgenommenen Handlungen hätten BGE 127 IV 20 S. 25 nichtig werden können; bei so gelagerten Fällen ist Vorsicht am Platze. Da das Delikt aber einen engen Bezug zum Grenzübertritt aufweist, konnten sie dem Fall auch selber nachgehen. Die Vorinstanz ist deshalb zu Recht von der schweizerischen Strafrechtshoheit ausgegangen. Die Zuständigkeit der Schweizer Behörden ist auch durch das geschützte Rechtsgut gegeben ( BGE 118 Ia 137 E. 2b). Das Verbot der Geldwäscherei will in erster Linie die Rechtspflege gegen den Entzug von einziehbaren Vermögenswerten krimineller Herkunft schützen, mittelbar die Öffentlichkeit vor den Auswirkungen des Verbrechens, das die einziehbaren Vermögenswerte hervorgebracht hat (Botschaft zu Art. 305bis StGB , BBl 1989 II 1081, 1064; BGE 122 IV 211 E. 4 S. 222; STEFAN TRECHSEL, Schweizerisches Strafgesetzbuch/Kurzkommentar, 2. Aufl., Zürich 1997, Art. 305bis N. 6). Der Beschwerdeführer wollte das entdeckte Bargeld aus Deutschland durch die Schweiz der Z. AG in Liechtenstein zuführen. Gegebenenfalls wären damit die Vermögenswerte sowohl in Deutschland, wie in der Schweiz, wie in Liechtenstein einziehbar gewesen; ebenso hätte das Verhalten des Beschwerdeführers in allen drei Ländern den Tatbestand der Geldwäscherei erfüllen können (§ 165 liechtensteinisches StGB; § 261 Abs. 1 deutsches StGB). Ziel des Geldwäschereiverbots ist insbesondere die Bekämpfung internationaler Kriminalität. Soll dieses Ziel effizient verfolgt werden, obliegt es auch den Transitländern, aktiv zu werden, wenn sie Kenntnis von entsprechenden Vorgängen erhalten. Dem Beschwerdeführer war es gelungen, die Ausgangskontrolle der deutschen Behörden zu umgehen. Die Schweiz war als nächstes Land von seinem Vorgehen betroffen. Damit waren die Schweizer Behörden zuständig, die Strafverfolgung aufzunehmen. Der Beschwerdeführer ist zudem nicht auf deutschem Boden verhaftet worden, womit weder gegen Art. 4 Abs. 1 noch gegen Art. 5 Abs. 1 des Rahmenabkommens verstossen worden ist. Er ist vielmehr den Beamten freiwillig und im Wissen um die Durchsuchung seines Fahrzeugs auf schweizerisches Territorium gefolgt.</w:t>
      </w:r>
    </w:p>
    <w:p>
      <w:r>
        <w:rPr>
          <w:b/>
        </w:rPr>
        <w:t>E. 3</w:t>
      </w:r>
    </w:p>
    <w:p>
      <w:r>
        <w:t>Der Beschwerdeführer macht eine Verletzung von Art. 305bis StGB geltend. Der blosse Transport von Geld stelle keine Geldwäscherei dar. a) Den Tatbestand der Geldwäscherei erfüllt, wer eine Handlung vornimmt, die geeignet ist, die Ermittlung der Herkunft, die Auffindung oder die Einziehung von Vermögenswerten zu vereiteln, die, wie er weiss oder annehmen muss, aus einem Verbrechen BGE 127 IV 20 S. 26 herrühren ( Art. 305bis Ziff. 1 StGB ). Es handelt sich um ein abstraktes Gefährdungsdelikt, der Nachweis einer konkreten Vereitelungsgefahr oder einer gelungenen Vereitelung ist nicht erforderlich (Botschaft Art. 305bis StGB , BBl 1989 II 1083; parlamentarische Beratung AB 1989 II N 1854, 1856 f.; AB 1990 S 195; BGE 119 IV 59 E. 2e). Die Rechtsprechung hat bisher das Verstecken ( BGE 122 IV 211 E. 2b; BGE 119 IV 59 E. 2e), das Anlegen ( BGE 119 IV 242 E. 1d) sowie das Wechseln von Bargeld ( BGE 122 IV 211 E. 2c) als Vereitelungshandlung qualifiziert, nicht jedoch dessen einfache Einzahlung auf das dem üblichen privaten Zahlungsverkehr dienende persönliche Bankkonto am Wohnort ( BGE 124 IV 274 E. 4a) oder den blossen Besitz, beziehungsweise das Aufbewahren (nicht veröffentlichtes Urteil des Kassationshofs vom 24. Januar 2000 i.S. M., 6S.595/1999 E. 2d/aa). b) Gemäss den verbindlichen Feststellungen der Vorinstanz führte der Beschwerdeführer einen erheblichen Geldbetrag, den er zuvor im Mietwagen unterhalb des Armaturenbretts versteckt hatte, in die Schweiz ein mit der Absicht, nach Vaduz/FL weiterzureisen und das Geld dort bei der Z. AG einzuzahlen, einer zur Verschleierung der Herkunft von Geldern gegründeten Gesellschaft. Er ging damit in mehrfacher Hinsicht über den blossen Besitz oder das Einzahlen von Geld auf das eigene Konto hinaus: Erstens durch das Verstecken des Geldes im Fahrzeug, zweitens durch den Transfer über die Landesgrenze hinweg und drittens durch das Einzahlen nicht auf ein eigenes Konto, sondern zuhanden einer Firma, von welcher sowohl er wie andere unauffällig Geld beziehen konnten. Alle drei Elemente sind geeignet, die Einziehung der Vermögenswerte zu vereiteln. Das Verstecken allein kann bereits den Tatbestand der Geldwäscherei erfüllen ( BGE 122 IV 211 E. 2b), das Verschieben von Geld über die Landesgrenze kommt erschwerend hinzu. Gewiss stünde den deutschen Behörden im Falle einer Strafverfolgung in Deutschland der Weg über die Rechtshilfe offen (Art. 63 Abs. 2 lit. d Gesetz über internationale Rechtshilfe in Strafsachen vom 20. März 1981 [IRSG; SR 351.1]), doch müssten die deutschen Behörden dazu nebst den formellen Erfordernissen ( Art. 27 ff. IRSG ) über hinreichend genaue Informationen verfügen, um einen gezielten Zugriff auf das versteckte Geld zu ermöglichen, soll ihr Gesuch nicht als unerlaubte "fishing expedition" gelten (ACKERMANN, a.a.O., S. 527 N. 317). Die blosse Möglichkeit einer erfolgreichen Rechtshilfe genügt im Übrigen nicht, um Geldwäscherei auszuschliessen; auch in BGE 122 IV 211 wurde das versteckte Geld nach Hausdurchsuchung BGE 127 IV 20 S. 27 schliesslich entdeckt (a.a.O., E. 1b; ACKERMANN, a.a.O., S. 485 f. N. 246 f., TRECHSEL, a.a.O., N. 17 mit Hinweisen). Gesamthaft gesehen ergeben die Handlungen des Beschwerdeführers eine typische Vorgehensweise, Drogengelder verschwinden zu lassen und neu in Verkehr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