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10</w:t>
      </w:r>
    </w:p>
    <w:p>
      <w:r>
        <w:t>Bundesgericht (BGE), 2000-01-01, DE</w:t>
      </w:r>
    </w:p>
    <w:p>
      <w:r>
        <w:rPr>
          <w:b/>
        </w:rPr>
        <w:t xml:space="preserve">Quelle: </w:t>
      </w:r>
      <w:r>
        <w:t>https://mcp.opencaselaw.ch/entscheid/bge_BGE_127_IV_10</w:t>
      </w:r>
    </w:p>
    <w:p>
      <w:r>
        <w:t>FR: ATF 127 IV 10</w:t>
      </w:r>
    </w:p>
    <w:p>
      <w:r>
        <w:t>IT: DTF 127 IV 10</w:t>
      </w:r>
    </w:p>
    <w:p>
      <w:pPr>
        <w:pStyle w:val="Heading2"/>
      </w:pPr>
      <w:r>
        <w:t>Regeste</w:t>
      </w:r>
    </w:p>
    <w:p>
      <w:r>
        <w:t>Regeste Art. 112 StGB; Kriterien für die Mordqualifikation. Vorleben und Verhalten nach der Tat sind für die Mordqualifikation nur heranzuziehen, soweit sie tatbezogen sind und ein Bild der Täterpersönlichkeit geben (E. 1a). In einem Vater-Tochter-Konflikt wirken immer auch kulturelle Muster mit. Doch ist nicht eine Kultur zu beurteilen, sondern eine Tat und ihr Täter (E. 1d). Der Vater, der die Tochter "mit dem Tode bestraft", weil sie sich nicht fügt, handelt besonders verwerflich (E. 1f). Die Änderung der rechtlichen Qualifikation führt in casu nicht zu einer Erhöhung des Strafmasses (E. 2-5).</w:t>
      </w:r>
    </w:p>
    <w:p>
      <w:r>
        <w:t>Regeste Art. 112 CP; critères de l'assassinat. Les antécédents et le comportement après l'acte ne sont pris en considération pour qualifier un homicide d'assassinat que s'ils ont une relation directe avec cet acte et s'ils sont révélateurs de la personnalité de l'auteur (consid. 1a). Dans un conflit entre le père et sa fille, il y a toujours une influence des conventions culturelles. Il ne s'agit cependant pas de juger une culture mais un acte et son auteur (consid. 1d). Le père qui "punit sa fille de mort", parce qu'elle ne se soumet pas, agit de façon particulièrement odieuse (consid. 1f). En l'espèce, la modification de la qualification de l'homicide ne conduit pas à une aggravation de la peine (consid. 2-5).</w:t>
      </w:r>
    </w:p>
    <w:p>
      <w:r>
        <w:t>Regesto Art. 112 CP; presupposti per il reato di assassinio. Ai fini di ravvisare in un omicidio la forma qualificata dell'assassinio, gli antecedenti e il comportamento posteriore all'atto illecito appaiono rilevanti solo se si trovano in relazione diretta con quest'ultimo e sono rappresentativi della personalità dell'agente (consid. 1a). In un conflitto tra padre e figlia, le convenzioni culturali esercitano comunque un'influenza. Non si tratta tuttavia di giudicare una cultura ma un agente e il suo atto (consid. 1d). Il padre che "punisce con la morte sua figlia" poiché quest'ultima non si piega alla sua volontà, agisce in modo particolarmente odioso (consid. 1f). Nella fattispecie, la modifica della qualifica legale non comporta un'aggravamento della pena (consid. 2-5).</w:t>
      </w:r>
    </w:p>
    <w:p>
      <w:pPr>
        <w:pStyle w:val="Heading2"/>
      </w:pPr>
      <w:r>
        <w:t>Erwägungen</w:t>
      </w:r>
    </w:p>
    <w:p>
      <w:r>
        <w:rPr>
          <w:b/>
        </w:rPr>
        <w:t>E. 1</w:t>
      </w:r>
    </w:p>
    <w:p>
      <w:r>
        <w:t>Vorsätzliche Tötung ( Art. 111 StGB ) ist als Mord zu qualifizieren, wenn der Täter besonders skrupellos handelt, namentlich sein Beweggrund, der Zweck der Tat oder die Art der Ausführung besonders verwerflich sind ( Art. 112 StGB ). a) Die vorsätzliche Vernichtung menschlichen Lebens wiegt immer ausserordentlich schwer. Mord unterscheidet sich durch besondere Skrupellosigkeit klar von der vorsätzlichen Tötung ( BGE 118 IV 122 E. 2b S. 126). Er zeichnet sich durch aussergewöhnlich krasse Missachtung fremden Lebens bei der Durchsetzung eigener Absichten aus. Für die Qualifikation verweist das Gesetz in nicht abschliessender Aufzählung beispielhaft auf äussere (Ausführung) und innere Merkmale (Beweggrund, Zweck). Diese Merkmale oder BGE 127 IV 10 S. 14 Indizien müssen zum einen nicht erfüllt sein, um Mord anzunehmen, zum andern aber sollen sie vermeiden helfen, dass für die Qualifikation allein auf eine Generalklausel der besonderen Skrupellosigkeit abgestellt werden müsste ( BGE 117 IV 369 E. 17, 19b). Die für eine Mordqualifikation konstitutiven Elemente sind jene der Tat selber, während Vorleben und Verhalten nach der Tat nur heranzuziehen sind, soweit sie tatbezogen sind und ein Bild der Täterpersönlichkeit geben ( BGE 117 IV 369 E. 17, 19a). Das Gesetz erfasst jenen Täter, den der Psychiater BINDER (ZStrR 67/1952 S. 307) beschrieben hat, als skrupellos, gemütskalt, krass und primitiv egoistisch, ohne soziale Regungen, der sich daher zur Verfolgung seiner eigenen Interessen rücksichtslos über das Leben anderer Menschen hinwegsetzt ( BGE 117 IV 369 E. 17; BGE 120 IV 265 E. 3a). "Cette mentalité doit apparaître comme une constante de la personnalité sur laquelle le juge doit se prononcer selon des critères moraux" ( BGE 115 IV 8 E. Ib). Entscheidend ist eine Gesamtwürdigung der äusseren und inneren Umstände der Tat ( BGE 120 IV 265 E. 3a; BGE 118 IV 122 ; BGE 115 IV 8 E. Ib; Pra 89/2000 Nr. 73 S. 429 E. 2c). In dieser Gesamtwürdigung kann eine besondere Skrupellosigkeit immer noch entfallen, namentlich wenn das Tatmotiv einfühlbar und nicht krass egoistisch ist, etwa wenn die Tat durch eine schwere Konfliktsituation ausgelöst wurde ( BGE 120 IV 265 E. 3a). Somit erfolgt die Qualifikation im Wesentlichen nach ethischen Kriterien ( BGE 115 IV 8 E. Ib). Für Mord typische Fälle sind die Tötung eines Menschen zum Zwecke des Raubes ( BGE 115 IV 187 ), Tötungen aus religiösem oder politischem Fanatismus ( BGE 115 IV 8 E. Ib; BGE 117 IV 369 E. 19c) oder aus Geringschätzung ( BGE 120 IV 265 ). b) Die Vorinstanz geht von der Beurteilung der Erstinstanz aus: Der Verurteilte habe egoistisch gehandelt, indem er das Leben seiner Tochter vernichtet habe, um nicht das Gesicht zu verlieren. Er habe allerdings unter einer chronischen psychosozialen Dauerbelastung gestanden, dies vor dem Hintergrund der traditionellen Werte, welchen er nachgelebt und denen er sich verpflichtet gefühlt habe, ohne ersichtlichen Ausweg aus dem Dilemma. Entgegen der Staatsanwaltschaft habe dem Delikt nicht bloss Verachtung der Tochter wegen der vermuteten Unreinheit zu Grunde gelegen. Es habe sich um eine eigentliche Exekution gehandelt, kaltblütig und mit Entschlossenheit. Alle Elemente abwägend habe die Erstinstanz in der Gesamtwürdigung das Vorliegen eines krassesten, primitivsten Egoismus und damit eine Mordqualifikation verworfen. BGE 127 IV 10 S. 15 Die Vorinstanz prüft ihrerseits die Indizien für eine Mordqualifikation. Sie verneint zunächst ein Handeln aus Mordlust oder aus Habgier sowie aus extremer (über die jeder Tötung eigene) Geringschätzung des Lebens. Sie prüft weiter die Kriterien Kaltblütigkeit (er habe die Tat erst durchführen können, nachdem er seine Tochter provoziert und sich in Wut gesteigert habe), Gefühlskälte (allenfalls das Nachtatverhalten erscheine kaltblütig und gefühlskalt), konsequentes Zuendeführen der Tat (die Tat sei in Sekundenschnelle erfolgt), Umsicht und Planung (er habe zwar seit Jahren immer ernsthafter davon gesprochen, doch liege eher eine Kurzschlusshandlung vor), Heimtücke (kein Hinterhalt oder Vertrauensbruch; das Opfer sei vielmehr darauf gefasst gewesen, dass eines Tages etwas Unheilvolles geschehen könnte). Weiter habe er zwar seine Ehre über das Leben der Tochter gestellt, was sicher ein krasses Missverhältnis der Interessen und in einem gewissen Sinne eine Elimination darstelle. Doch bestehe ein Unterschied im Grad des Egoismus: Hier sei die Tat vor dem Hintergrund einer langjährigen, stark konfliktgeladenen Täter-Opfer-Beziehung geschehen. Er habe auch als dafür verantwortlicher pater familias die Ehre der eigenen und der Grossfamilie wieder herstellen wollen und dazu die Tochter, die den Ehrenkodex verletzt habe, mit dem Tode bestraft. Er habe auch immer wieder den Tötungsentschluss zu Gunsten anderer Lösungen wie der Heirat fallen lassen. Die Tat sei auf Grund der Lebensgeschichte und des kulturellen Hintergrunds zwar nicht entschuldbar, aber psychologisch erklärbar. Er habe aus einer gewissen Hilflosigkeit und Verzweiflung gehandelt. Er habe subjektiv keinen andern Ausweg aus dem Dilemma gesehen. Grausamkeit sei nur anzunehmen, wenn der Täter aus gefühlloser, unbarmherziger Gesinnung besonders schwere Leiden (der Stärke, der Dauer oder der Wiederholung nach) zufüge, nicht schon, wenn die Tat aus andern Gründen besondere Abscheu errege. Er habe der Tochter keine unnötigen Leiden zugefügt. Dieses Kriterium sei nicht schon auf Grund der Tötungsart erfüllt. Die Vorinstanz kommt zum Ergebnis: Es lägen zwar mehrere belastende Elemente vor, die in Richtung Mord wiesen. Insbesondere sei die Tat als klar egoistisch zu bezeichnen, doch liege nicht krassester, primitiver Egoismus vor. Weder einzeln noch im Gesamten lägen Umstände in jener Intensität vor, die nötig wäre, um Mord anzunehmen. c) Auch für die Staatsanwaltschaft scheiden Mordlust, Rachsucht, Habgier, Heimtücke oder ein Zuendeführen der Tat im Sinne des Nachsetzens bis zur endgültigen Tötung als mordqualifizierend aus. BGE 127 IV 10 S. 16 Anders als die Vorinstanz will sie den Egoismus, die Gefühlskälte sowie das direkte Vor- und Nachtatverhalten gewichtet sehen. Dabei sei der kulturelle Hintergrund für die Qualifikation unbeachtlich. Würden die besonderen kulturellen Gegebenheiten, welche nicht allgemein anerkannt und zudem stark von den subjektiven Vorstellungen des Verurteilten geprägt seien, weggelassen, so rücke die Tat in die Nähe der Eliminationstötung. Es müsse auf Gefühlskälte oder auf einen ausserordentlich hohen Grad an Gefühlsrohheit geschlossen werden, wenn der Vater seine Tochter, sein eigenes Kind, nach einer solchen selbstverschuldeten Konfliktsituation töte, bei der wie auch bei der Tat die lenkende Aktivität immer bei ihm gelegen habe. Die Tat dürfe nicht als Grenzfall zu Mord, sondern müsse eindeutig als Mord qualifiziert werden. Soweit die Staatsanwaltschaft indes das von der Vorinstanz angenommene Handeln "aus einer gewissen Hilflosigkeit und Verzweiflung" als verfehlte Interpretation des kulturellen Hintergrunds in Abrede stellt, wendet sie sich gegen die für das Bundesgericht verbindlichen Feststellungen der Vorinstanz ( Art. 277bis BStP ; SR 312.0), die überdies in den beiden psychiatrischen Gutachten und im ethnologischen Gutachten hinreichend belegt sind. d) Zur vertieften Abklärung hat die Vorinstanz ein in Zusammenarbeit mit einem Psychiater erstelltes Gutachten des Instituts für Ethnologie der Universität Bern vom 7. März 1997 herangezogen. Danach lassen sich infolge der rapiden gesellschaftlichen Transformation "typische" türkisch/-kurdische bäuerliche Lebensverhältnisse, Familien und Biographien kaum mehr finden. Die Geschichte der Familie (die Gattin ist Türkin) sei vor diesem Hintergrund des Wandels symptomatisch. Es sei heute unzulässig, von einer für sich stehenden kurdischen Gesellschaft zu sprechen, welche einheitliche Werte und Normen vertrete. Der Verurteilte bestreite die Tötung nicht und sei dennoch im Grunde überzeugt, moralisch unschuldig zu sein; diesen Widerspruch löse er für sich, indem er einerseits die Strafe als Teil seines Schicksals akzeptiere, anderseits die Tat selbst als Folge eines momentanen Ausser-sich-Seins darstelle. Es müsse ihm aber zugestanden werden, dass er die Verantwortung eines Familienvaters sehr ernst genommen habe und dass er sich redlich bemüht habe, seiner grossen Familie Sicherheit zu geben und für sie zu sorgen. Auch bestünden genügend Hinweise, dass die Tötung als Ausgang eines Ehrkonflikts zu verstehen sei, der allerdings ausserordentlich komplexe Konturen aufweise, und in welchem die fehlgeleitete Integration der Familie in der Schweiz eine weit grössere BGE 127 IV 10 S. 17 Rolle gespielt habe als irgendwelche aus der Türkei importierten Normen und Werte. Mit der Tötung sei das Ehrdelikt weder bereinigt noch abgeschlossen und eine Fortsetzung des Konflikts könne nicht ausgeschlossen werden. In diesem Zusammenhang stellt die Vorinstanz fest, die Tat sei vor dem Hintergrund einer stark konfliktgeladenen Täter-Opfer-Beziehung geschehen. Die Tat kann daher auch in der Konsequenz einer katastrophalen Vater-Tochter-Beziehung begriffen werden. Hier wirken immer kulturelle Muster mit. Doch ist nicht eine Kultur zu beurteilen, sondern eine Tat und ihr Täter. Dabei können tatbezogene heimatliche Anschauungen des Ausländers - wie des Inländers - als innere Tatsachen (Beweggründe) bei der Gesamtwürdigung erheblich werden. Kulturen geben aber keine Auskunft zum tatsächlichen individuellen Handeln (HANS-RUDOLF WICKER, Vom Sinn und Unsinn ethnologischer Gutachten, Asyl 1996 S. 118, 121). Ethnologische Gutachten können jedoch in spezifischen Fällen helfen, den Tathintergrund auszuleuchten. Die Verwerflichkeit beurteilt sich dann nach der ethischen Qualität des Beweggrundes, nicht nach seiner Herkunft. e) Die kantonalen Instanzen würdigen die Tat umfassend nach den grundsätzlich massgebenden Kriterien. Dabei beziehen sie die Migrations- und Integrations-Problematik ein, ohne aber ihr ein unsachliches Gewicht beizumessen oder gar einen Mord in abstrakter Weise wegen vermeintlicher heimatlicher (anatolischer) Auffassungen des Verurteilten zu verneinen. Sie nehmen in der Gesamtwürdigung nach einem in der Rechtsprechung anerkannten Schluss an, dass eine besondere Skrupellosigkeit immer noch entfallen kann, wenn die Tat durch eine schwere Konfliktsituation ausgelöst worden ist ( BGE 120 IV 265 E. 3a) oder wenn gegenüber den für Mord charakteristischen letztlich doch die für Mord atypischen Elemente überwiegen ( BGE 118 IV 122 E. 3d). Indessen stellt die Vorinstanz zwar fest, der Verurteilte habe sich im Tatzeitpunkt unter einer chronischen psychosozialen Dauerbelastung befunden. Sie erwägt aber unmittelbar anschliessend, der Verurteilte sei keineswegs als stumm Leidender, über Jahre den Konflikt Ertragender plötzlich explosionsartig aggressiv geworden. Er sei diesem komplexen Bedingungsgefüge nicht einfach hilflos ausgesetzt gewesen, sondern habe mit seinem Verhaltensmuster wesentlich zur Eskalation der Situation beigetragen, und er habe Anlass zu jenem die Tat auslösenden Disput gegeben. Damit wird jenes Motiv aufgenommen, welches die Tat kennzeichnet und ihr BGE 127 IV 10 S. 18 das Gepräge gibt. Während entgegen der Staatsanwaltschaft eine Eliminationstötung zu verneinen ist, ist ihr zuzugeben, dass der Verurteilte die Tochter in seiner Macht behalten wollte: Nur der bereits in seiner Art und Bekanntmachung angekündigte Tod der Tochter hat ihn in seiner Vorstellungswelt vor noch grösserem Ehrverlust retten können. Er hat seine Sicht der Dinge durchgesetzt, welche in der Konsequenz des von ihm beschrittenen Weges darin mündete, in aufsteigender Kadenz die körperliche und seelische Integrität der Tochter krass zu missachten, um schliesslich die Entscheidung über Leben und Tod der Tochter selbst in die Hand zu nehmen. Diese verwerfliche tödliche Konsequenz ist nur deshalb eingetreten, weil der Verurteilte seinem Leben Moralvorstellungen zu Grunde gelegt hatte, die objektiv weder in der Schweiz noch in seiner Heimat gerechtfertigt waren und die er seiner nächsten Umgebung und insbesondere seiner sich ablösenden Tochter aufgezwungen hat. f) Der tragende und der Tat ihr Gepräge gebende Beweggrund des Verurteilten ist, dass er als pater familias seine Tochter "mit dem Tode bestrafte" (oben E. 1b), weil sie sich nicht fügte. Er schob den Anspruch der Tochter auf Achtung und Entfaltung ihrer Persönlichkeit beiseite. Er entschied, ihr Leben sei verwirkt, und warf sich damit zum Herrn über ihr Leben auf. Dass er dabei auch aus einer gewissen Hilflosigkeit und Verzweiflung gehandelt hatte, hat die Vorinstanz letztlich bewogen, dennoch eine vorsätzliche Tötung an der Grenze zum Mord anzunehmen. Richtigerweise muss jedoch die Tat qualitativ als Mord, wegen der Motivationslage indes als Mord an der Grenze zur vorsätzlichen Tötung eingestuft werden. Die Nichtigkeitsbeschwerde der Staatsanwaltschaft ist deshalb insoweit gutzuheissen.</w:t>
      </w:r>
    </w:p>
    <w:p>
      <w:r>
        <w:rPr>
          <w:b/>
        </w:rPr>
        <w:t>E. 2</w:t>
      </w:r>
    </w:p>
    <w:p>
      <w:r>
        <w:t>Bei diesem Ergebnis ist an sich auf die Frage der Strafzumessung nicht mehr einzutreten, da die Vorinstanz die Strafe nach Massgabe des neuen Schuldspruchs grundsätzlich neu zu beurteilen hat ( BGE 123 IV 1 E. 1). Aus prozessökonomischen Gründen können aber - angesichts der Beschwerdegründe sowohl der Staatsanwaltschaft (unten E. 3) wie des Verurteilten (unten E. 4) sowie angesichts der vorinstanzlichen Erwägungen - die Rügen beurteilt werden (vgl. Pra 89/2000 Nr. 73 S. 429 E. 3). Die Strafe ist nach dem Verschulden des Täters zuzumessen; dabei sind Beweggründe, Vorleben und persönliche Verhältnisse des Schuldigen zu berücksichtigen ( Art. 63 StGB ). Es müssen die wesentlichen Tat- und Täterkomponenten beurteilt, das Ausmass qualifizierender Tatumstände gewichtet und die Strafzumessung nachvollziehbar BGE 127 IV 10 S. 19 begründet werden. Dabei besitzt die Vorinstanz ein erhebliches Ermessen. Das Bundesgericht greift nur ein, wenn sie von rechtlich nicht massgebenden Gesichtspunkten ausgegangen ist oder wenn sie wesentliche Gesichtspunkte ausser Acht gelassen bzw. in Überschreitung oder Missbrauch ihres Ermessens falsch gewichtet hat ( BGE 123 IV 49 E. 2; BGE 122 IV 299 E. 2a).</w:t>
      </w:r>
    </w:p>
    <w:p>
      <w:r>
        <w:rPr>
          <w:b/>
        </w:rPr>
        <w:t>E. 3</w:t>
      </w:r>
    </w:p>
    <w:p>
      <w:r>
        <w:t>Die Staatsanwaltschaft macht geltend, die Vorinstanz habe dem Kulturkonflikt, in dem sich der Verurteilte befunden habe, doppelt Rechnung getragen, nämlich sowohl im Rahmen der Strafmilderung nach Art. 11 in Verbindung mit Art. 66 StGB wie auch bei der Strafzumessung nach Art. 63 StGB . Der eigentliche Konflikt, die gescheiterte Integration, gehe in der diagnostizierten leichten Anpassungsstörung weitgehend auf und dürfe daher nicht zusätzlich im Rahmen von Art. 63 StGB berücksichtigt werden. Die Vorinstanz berücksichtigt strafmildernd die verminderte Zurechnungsfähigkeit im Sinne von Art. 11 in Verbindung mit Art. 66 StGB . Sie verweist insoweit auf das überzeugende psychiatrische Gutachten und auf die zutreffenden Erwägungen der ersten Instanz. Es sei also von einer leicht verminderten Zurechnungsfähigkeit auszugehen. Im Anschluss daran geht sie auf die verschiedenen Tatkomponenten ein. Dass sie damit in unzulässiger Weise den gleichen Gesichtspunkt doppelt verwertet hätte, ist aus dem angefochtenen Urteil nicht ersichtlich und wird von der Staatsanwaltschaft auch nicht substanziiert geltend gemacht. Die Nichtigkeitsbeschwerde der Staatsanwaltschaft ist deshalb insoweit unbegründet, soweit überhaupt auf sie eingetreten werden kann. II. Nichtigkeitsbeschwerde des Verurteilten</w:t>
      </w:r>
    </w:p>
    <w:p>
      <w:r>
        <w:rPr>
          <w:b/>
        </w:rPr>
        <w:t>E. 4</w:t>
      </w:r>
    </w:p>
    <w:p>
      <w:r>
        <w:t>Der Verurteilte macht geltend, die Vorinstanz habe in Verletzung von Bundesrecht den Strafmilderungsgrund der schweren Bedrängnis ( Art. 64 Abs. 1 StGB ) nicht angewendet. Sie habe nicht seinen kulturellen Hintergrund und seine absolut zentralen türkisch/kurdischen Grundwerte zu Grunde gelegt, sondern eine mitteleuropäische Werthaltung. Das Strafmass sei zu hoch. Die Tatkomponenten würden nicht besonders schwer wiegen. Bei den Täterkomponenten fehle der Hinweis, dass sich seine Gattin, die sich bei früheren Konflikten stets schlichtend ins Geschehen eingemischt habe, zur Tatzeit mit Lähmungserscheinungen im Spital befunden habe. Er habe sich unverschuldetermassen kurz vor der Tötung in einer ausserordentlich belastenden Lebenssituation befunden. Es sei eine Strafe deutlich unter zehn Jahren angemessen. BGE 127 IV 10 S. 20 Der Verurteilte richtet sich in unzulässiger Weise gegen Feststellungen der Vorinstanz ( Art. 273 BStP ), so wenn er vorbringt, er habe nicht egoistisch, sondern im Interesse der Familie gehandelt, und er habe die Tochter nicht "terrorisiert". Darauf ist nicht einzutreten. Im Übrigen ist die Beschwerde unbegründet. Die Vorinstanz gewichtet das Tatverschulden richtigerweise als ausserordentlich gross, sie berücksichtigt die Täterkomponenten hinreichend, und sie verneint die Anwendung von Art. 64 Abs. 1 StGB zu Recht mit der Begründung, die Tötung der Tochter stehe in einem zu krassen Missverhältnis zur Bedrängnis des Verurteilten, der sich nicht habe von seinem Weg abbringen lassen, stattdessen die Tochter und die ganze Familie immer mehr gequält und tyrannisiert und sich stur verrannt habe, bis es aus seiner Sicht keinen anderen Ausweg mehr gegeben habe. Die Nichtigkeitsbeschwerde des Verurteilten ist abzuweisen, soweit darauf einzutreten ist. III.</w:t>
      </w:r>
    </w:p>
    <w:p>
      <w:r>
        <w:rPr>
          <w:b/>
        </w:rPr>
        <w:t>E. 5</w:t>
      </w:r>
    </w:p>
    <w:p>
      <w:r>
        <w:t>Zusammenfassend ist der vorinstanzliche Schuldspruch aufzuheben und die Sache zur Schuldigsprechung wegen Mordes ( Art. 112 StGB ) an die Vorinstanz zurückzuweisen. Die Änderung der rechtlichen Qualifikation erheischt aber nicht eine Erhöhung des Strafmasses. Die Strafe von vierzehn Jahren Zuchthaus erscheint in Anbetracht der vorinstanzlichen Feststellungen auch unter der neuen Qualifikation als Mord, an der Grenze zur vorsätzlichen Tötung liegend,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