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8</w:t>
      </w:r>
    </w:p>
    <w:p>
      <w:r>
        <w:t>Bundesgericht (BGE), 2000-01-01, DE</w:t>
      </w:r>
    </w:p>
    <w:p>
      <w:r>
        <w:rPr>
          <w:b/>
        </w:rPr>
        <w:t xml:space="preserve">Quelle: </w:t>
      </w:r>
      <w:r>
        <w:t>https://mcp.opencaselaw.ch/entscheid/bge_BGE_127_II_8</w:t>
      </w:r>
    </w:p>
    <w:p>
      <w:r>
        <w:t>FR: ATF 127 II 8</w:t>
      </w:r>
    </w:p>
    <w:p>
      <w:r>
        <w:t>IT: DTF 127 II 8</w:t>
      </w:r>
    </w:p>
    <w:p>
      <w:pPr>
        <w:pStyle w:val="Heading2"/>
      </w:pPr>
      <w:r>
        <w:t>Regeste</w:t>
      </w:r>
    </w:p>
    <w:p>
      <w:r>
        <w:t>Regeste Art. 1 Abs. 2 lit. a, Art. 3 lit. e, Art. 11, 14, 16, 17, 19, 58, 61 Abs. 1 und Art. 66 Abs. 1 FMG, Art. 23 Abs. 1 lit. d FDV, Art. 27, 36, 92 und 94 BV; gesetzliche Preisobergrenze bei der Grundgebühr (dem Zuschlag) für die Benutzung öffentlicher Sprechstellen (Telefonkabinen). Gegen eine (rechtswirksame) Aufsichtsmassnahme der Kommunikationskommission ist die Verwaltungsgerichtsbeschwerde an das Bundesgericht zulässig (E. 1). Die gesetzliche Preisobergrenze für die Grundgebühr gilt nicht nur im Verhältnis der Grundversorgungskonzessionärin gegenüber den Kunden, sondern auch gegenüber anderen Fernmeldedienstanbietern; sie greift auch dann, wenn aus einer öffentlichen Sprechstelle eine Verbindung mit einer Gratisnummer hergestellt wird, die ein Kunde eines konkurrierenden Fernmeldeunternehmens betreibt (E. 2 und 3). Gesetz- und Verfassungsmässigkeit der im konkreten Fall getroffenen Aufsichtsmassnahme (E. 4).</w:t>
      </w:r>
    </w:p>
    <w:p>
      <w:r>
        <w:t>Regeste Art. 1er al. 2 let. a, art. 3 let. e, art. 11, 14, 16, 17, 19, 58, 61 al. 1 et art. 66 al. 1 LTC, art. 23 al. 1 let. d OST, art. 27, 36, 92 et 94 Cst.; prix plafond légal de la taxe de base (supplément) pour l'utilisation d'une cabine publique (cabine téléphonique). Le recours de droit administratif au Tribunal fédéral est recevable à l'encontre d'une mesure de surveillance (valable) de la Commission de la communication (consid. 1). Le prix plafond légal de la taxe de base s'applique non seulement dans les rapports de la concessionnaire du service universel avec les clients mais également avec d'autres fournisseurs de services de télécommunication; il s'applique également lorsqu'est établie à partir d'une cabine publique une communication avec un numéro gratuit exploité par un client d'un fournisseur de services de télécommunication concurrent (consid. 2 et 3). Légalité et constitutionnalité de la mesure de surveillance prise dans le cas particulier (consid. 4).</w:t>
      </w:r>
    </w:p>
    <w:p>
      <w:r>
        <w:t>Regesto Art. 1 cpv. 2 lett. a, art. 3 lett. e, art. 11, 14, 16, 17, 19, 58, 61 cpv. 1 e 66 cpv. 1 LTC, art. 23 cpv. 1 lett. d OST, art. 27, 36, 92 e 94 Cost.; limite superiore legale della tariffa di base (supplemento) per l'utilizzazione di un telefono pubblico (cabina telefonica). Il ricorso di diritto amministrativo al Tribunale federale è dato per contestare una misura di vigilanza (giuridicamente valida) pronunciata dalla Commissione delle comunicazioni (consid. 1). Il limite superiore previsto dalla legge per la tariffa di base si applica non soltanto nei rapporti tra il concessionario del servizio universale e i clienti, ma anche nei rapporti tra il primo e gli altri fornitori di servizi di telecomunicazioni; detto limite è pure applicabile quando viene stabilita a partire da una cabina telefonica una comunicazione con un numero gratuito utilizzato dal cliente di un fornitore concorrente di servizi di telecomunicazioni (consid. 2 e 3). Legalità e costituzionalità della misura di vigilanza adottata nel caso specifico (consid. 4).</w:t>
      </w:r>
    </w:p>
    <w:p>
      <w:pPr>
        <w:pStyle w:val="Heading2"/>
      </w:pPr>
      <w:r>
        <w:t>Erwägungen</w:t>
      </w:r>
    </w:p>
    <w:p>
      <w:r>
        <w:rPr>
          <w:b/>
        </w:rPr>
        <w:t>E. 1</w:t>
      </w:r>
    </w:p>
    <w:p>
      <w:r>
        <w:t>a) Nach Art. 97 OG in Verbindung mit Art. 5 VwVG (SR 172.021) beurteilt das Bundesgericht Verwaltungsgerichtsbeschwerden gegen rechtswirksame Anordnungen im Einzelfall, die sich auf öffentliches Recht des Bundes stützen. Gemäss Art. 58 des Fernmeldegesetzes vom 30. April 1997 (FMG; SR 784.10) wacht das Bundesamt für Kommunikation darüber, dass die Konzessionäre das internationale Fernmelderecht, das Fernmeldegesetz, die Ausführungsvorschriften und die Konzession einhalten; es kann bei der Eidgenössischen Kommunikationskommission verschiedene Aufsichtsmassnahmen beantragen, die von der Aufforderung zur Behebung von Mängeln bis hin zum Konzessionsentzug reichen. Nach Art. 61 Abs. 1 FMG unterliegen Verfügungen der Kommunikationskommission der Verwaltungsgerichtsbeschwerde an das Bundesgericht. BGE 127 II 8 S. 12 Im vorliegenden Fall ist eine derartige Aufsichtsmassnahme angefochten. Es handelt sich um eine gestützt auf das Fernmeldegesetz, d.h. auf öffentliches Recht des Bundes, ergangene rechtswirksame Anordnung im Einzelfall. Ein Ausschlussgrund gemäss Art. 99-101 OG liegt nicht vor. Die Beschwerdeführerin ist als direkte Adressatin der angefochtenen Aufsichtsverfügung gemäss Art. 103 lit. a OG zur Beschwerde legitimiert. Auf die frist- und formgerecht eingereichte Verwaltungsgerichtsbeschwerde ist daher einzutreten (vgl. BGE 125 II 293 E. 3, insbes. E. 3c). b) Im Verfahren der Verwaltungsgerichtsbeschwerde überprüft das Bundesgericht den angefochtenen Entscheid auf Verletzung von Bundesrecht, einschliesslich Überschreitung oder Missbrauch des Ermessens, sowie auf unrichtige oder unvollständige Feststellung des rechtserheblichen Sachverhalts, sofern nicht eine richterliche Behörde als Vorinstanz entschieden hat (vgl. Art. 104 und 105 OG ). Bei der Eidgenössischen Kommunikationskommission handelt es sich zwar um eine von Bundesrat, Departement und übriger Verwaltung unabhängige Instanz (vgl. Art. 56 Abs. 2 FMG ). Sie entscheidet im Aufsichtsverfahren aber wohl nicht als richterliche Instanz; die Frage kann jedoch offen bleiben. Die Beschwerdeführerin behauptet zwar, die Vorinstanz habe den Sachverhalt unrichtig festgestellt. Strittig ist dabei, ob die Vorinstanz die Infrastrukturkosten, namentlich diejenigen, welche am Standort anfallen, genügend berücksichtigt hat bzw. ob der Anschluss von öffentlichen Sprechstellen an die Abonnementszentralen der Beschwerdeführerin bereits dem Interkonnektionsregime untersteht oder nicht. Es fragt sich, ob es sich dabei wenigstens teilweise nicht bereits um Rechtsfragen handelt, was aber ebenfalls offen bleiben kann. So oder so ist das Bundesgericht an die Begründung der Parteibegehren nicht gebunden (vgl. Art. 114 Abs. 1 OG ), wendet das einschlägige Bundesrecht damit von Amtes wegen an, und sind die betreffenden Streitpunkte für die vorliegend zu entscheidende Frage nicht ausschlaggebend (vgl. dazu E. 3).</w:t>
      </w:r>
    </w:p>
    <w:p>
      <w:r>
        <w:rPr>
          <w:b/>
        </w:rPr>
        <w:t>E. 2</w:t>
      </w:r>
    </w:p>
    <w:p>
      <w:r>
        <w:t>a) Gemäss Art. 1 Abs. 2 lit. a FMG soll das Fernmeldegesetz unter anderem eine zuverlässige und erschwingliche Grundversorgung mit Fernmeldediensten für alle Bevölkerungskreise in allen Landesteilen gewährleisten. Zu diesem Zweck sieht Art. 14 FMG die Erteilung von Grundversorgungskonzessionen mit der Auflage vor, im Konzessionsgebiet die Dienste der Grundversorgung allen Bevölkerungskreisen anzubieten. Umfang und möglicher Inhalt der BGE 127 II 8 S. 13 Konzession werden in Art. 16 FMG umschrieben. Art. 17 FMG enthält Vorschriften zu den Qualitätsanforderungen und zur Preisgestaltung (vgl. dazu BBl 1996 III 1419 und 1430). Insbesondere legt der Bundesrat nach Art. 17 Abs. 2 FMG für die Grundversorgung periodisch Preisobergrenzen fest; diese gelten einheitlich für das ganze Gebiet und richten sich nach der Entwicklung des Marktes. In Ausführung von Art. 17 Abs. 2 FMG hat der Bundesrat in Art. 23 FDV eine Reihe von Preisobergrenzen festgesetzt. Gemäss Art. 66 Abs. 1 FMG ist die Beschwerdeführerin bis zum 31. Dezember 2002 zur flächendeckenden Sicherstellung der Grundversorgung nach Art. 16 Abs. 1 FMG verpflichtet, wofür sie eine entsprechende Konzession erhält. Am 20. August 1999 wurde ihr denn auch die Grundversorgungskonzession Nr. 25510000 erteilt. Die Beschwerdeführerin verzichtete auf Investitionsbeiträge nach Art. 19 FMG (BBl 1996 III 1419 und 1450; vgl. auch Art. 66 Abs. 1 FMG ). b) Nach Art. 16 Abs. 1 lit. c FMG ist der Grundversorgungskonzessionär insbesondere zu einer ausreichen- den Versorgung mit öffentlichen Sprechstellen verpflichtet. Gemäss Art. 23 Abs. 1 lit. d FDV gilt eine Preisobergrenze von 40 Rappen (bis zum 30. April 2000; vgl. ursprüngliche Fassung der Fernmeldediensteverordnung in AS 1997 S. 2833, insbes. 2839) bzw. 50 Rappen (ab 1. Mai 2000; vgl. AS 2000 S. 1044, insbes. S. 1049 und 1055) für den Zuschlag für die Benutzung einer öffentlichen Sprechstelle. Im vorliegenden Zusammenhang geht es um diesen Zuschlag, wenn aus einer öffentlichen Sprechzelle der Beschwerdeführerin eine Verbindung mit einer 0800-Nummer (Gratisnummer) hergestellt wird, die ein Kunde eines anderen Fernmeldedienstanbieters betreibt.</w:t>
      </w:r>
    </w:p>
    <w:p>
      <w:r>
        <w:rPr>
          <w:b/>
        </w:rPr>
        <w:t>E. 3</w:t>
      </w:r>
    </w:p>
    <w:p>
      <w:r>
        <w:t>a) Die Beschwerdeführerin ist der Ansicht, die fraglichen Kosten seien ausschliesslich auf dem Wege der Interkonnektion zu regeln. Aufsichtsrechtliche und damit regulatorische Kontrollen und Massnahmen seien damit ausgeschlossen. Überdies bestimme die Preisobergrenze lediglich das Verhältnis der Beschwerdeführerin zu den Anrufern als unmittelbaren Benutzern des Telefondienstes und nicht jenes zu anderen Fernmeldedienstanbietern. b) Vom Charakter und vom Gesetzeszweck her handelt es sich bei den gesetzlichen Preisobergrenzen um einen staatlichen Eingriff in die Tarifautonomie der Fernmeldeanbieter. Der Gesetzgeber wollte im Interesse der Konsumenten sicherstellen, dass gewisse Preise einen vorgesehenen Höchstbetrag nicht übersteigen. Dafür hat er für BGE 127 II 8 S. 14 bestimmte Dienstleistungen zwingende Preisobergrenzen festgesetzt. Der Gesetzestext äussert sich nicht ausdrücklich dazu, gegenüber wem die Preisobergrenzen gelten. Mit dem Zuschlag bei der Benutzung öffentlicher Sprechstellen sollen die Infrastrukturkosten des Fernmeldedienstanbieters, welcher die Sprechstellen unterhält, entschädigt werden. Er dient damit dem gleichen Zweck wie die fragliche sog. "Publifon Charge" der Beschwerdeführerin. Dabei ist von vornherein klar, dass die Endkonsumenten, das heisst die Anrufer als eigentliche Benutzer der angebotenen Dienstleistung, unter dem Schutz der Preisobergrenzen stehen müssen. Auf sie darf kein diese Limite übersteigender Betrag überwälzt werden. Dasselbe muss jedoch auch für die konkurrierenden Fernmeldedienstanbieter gelten: Das ganze System macht nur dann Sinn, wenn die Preisobergrenzen ebenfalls zwischen den verschiedenen Fernmeldedienstanbietern Beachtung finden. Auch die Konkurrenten der Beschwerdeführerin sind bei der Preisgestaltung ihren Kunden gegenüber daran gebunden, wobei es im vorliegenden Zusammenhang keine Rolle spielt, dass die Kosten bei den Gratisnummern nicht direkt dem Anrufer als Endkonsumenten, sondern dem Betreiber der 0800-Nummer berechnet werden, welcher die Gratisnummer abonniert hat und dem Endkonsumenten zur Verfügung stellt. Die Preisobergrenzen sind damit auch im Verhältnis zwischen der Beschwerdeführerin und ihren Konkurrenten anwendbar. Die Beschwerdeführerin wendet dagegen zwar ein, dies führe zu einer wettbewerbsverzerrenden künstlichen Verbilligung ihrer Dienstleistung, da sie letztlich ihre Kosten nicht vollumfänglich zu decken bzw. zu überwälzen vermöge, wenn sie auch gegenüber ihren Konkurrenten an die Preisobergrenzen gebunden sei. Dies mag allenfalls zutreffen, ist hier jedoch nicht massgeblich. Entscheidend ist einzig, dass das Gesetz das System der Preisobergrenzen vorsieht, woran sich die Behörden wie auch die betroffenen Fernmeldedienstanbieter zu halten haben. Dass die Beschwerdeführerin eventuell nur unvollständig entschädigt wird, beruht auf der Regelung von Art. 19 in Verbindung mit Art. 66 Abs. 1 FMG , wonach ihr zurzeit keine Investitionsbeiträge für unrentable Grundversorgungsdienste zustehen. Diese Regelung geht auf das eigene Einverständnis der Beschwerdeführerin zurück und dauert noch bis Ende 2002; ab dem Jahr 2003 wird sich auch die Beschwerdeführerin allfällige Ausfälle durch Investitionsbeiträge des Bundes abgelten lassen können. Zurzeit kommt es aber nicht darauf an, ob sämtliche am Standort BGE 127 II 8 S. 15 anfallenden Infrastrukturkosten mit der gesetzlichen Preisobergrenze entschädigt werden oder nicht. Daraus ergibt sich, dass diejenigen Kosten, welche am Standort der öffentlichen Sprechstelle unter Einschluss der Netzanschlusskosten (Verbindung mit der Abonnementszentrale gemäss dem Sprachgebrauch der Vorinstanz; "lokaler Switch" gemäss dem Sprachgebrauch der Beschwerdeführerin) anfallen, vom gesetzlich geregelten Zuschlag entgolten werden und lediglich die übrigen Verbindungskosten davon nicht erfasst sind und separat in Rechnung gestellt werden dürfen. Im Übrigen lässt sich nicht von der Hand weisen, dass die Beschwerdeführerin nicht nur zur Erbringung der Grundversorgungsdienste verpflichtet ist, sondern daraus selbst dann wenigstens in werbetechnischer Hinsicht profitiert, wenn sie für eine einzelne Dienstleistung nicht ganz oder nur gerade kostendeckend Rechnung stellen könnte. Das kann namentlich für die öffentlichen Sprechstellen zutreffen, die doch ein nicht unwesentliches Werbepotential für die Beschwerdeführerin mit sich bringen dürften. c) An dieser rechtlichen Beurteilung ändern auch die Regeln über die Interkonnektion nichts. aa) Gemäss Art. 3 lit. e FMG bedeutet Interkonnektion die Verbindung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 BGE 125 II 613 E. 1a, mit weiteren Hinweisen). Mit der Interkonnektionspflicht nach Art. 11 Abs. 2 FMG für alle Anbieter von Diensten der Grundversorgung soll insbesondere sichergestellt werden, dass alle Kunden von Diensten der Grundversorgung, insbesondere vom Telefondienst, miteinander kommunizieren können, unabhängig davon, bei welchen Anbietern sie angeschlossen sind. Dabei handelt es sich namentlich um die so genannte Interoperabilität aller Teilnehmer am Telekommunikationsmarkt ( BGE 125 II 613 E. 1b). BGE 127 II 8 S. 16 Grundsätzlich werden die Bedingungen der Interkonnektion zwischen den beteiligten Unternehmungen direkt vereinbart. Eine staatliche Regelung ist gesetzlich nur subsidiär für den Fall vorgesehen, dass sich die Parteien nicht innert vernünftiger Frist einigen können (vgl. Art. 11 Abs. 3 FMG ; BGE 125 II 613 E. 1c; BBl 1996 III 1419, 1427). bb) Die Subsidiarität des staatlichen Eingriffs im Bereich der Interkonnektion muss nun aber unter dem Vorbehalt zwingender gesetzlicher Regelungen stehen. Sie kann nur insoweit gelten, als das Gesetz den Fernmeldedienstanbietern überhaupt einen Spielraum belässt, was zwar weitgehend, bei den Preisobergrenzen aber gerade nicht zutrifft. Gewiss ist es den beteiligten Unternehmungen unbenommen, in ihren Interkonnektionsvereinbarungen eine einvernehmliche Regelung über die Überwälzung von Kosten zu treffen, für welche wie beim Zuschlag für die Benützung öffentlicher Sprechstellen eine Preisobergrenze gilt. Das schliesst jedoch die weitere Gültigkeit derselben nicht aus. Im Gegenteil bleibt sie auch bei Interkonnektionsregelungen beachtlich, weshalb die für die Preisgestaltung zwingende Obergrenze auch im Interkonnektionsbereich einzuhalten ist. Ein Spielraum besteht diesfalls lediglich nach unten: Es ist nicht erforderlich, einen der Preisobergrenze entsprechenden Betrag auf die Interkonnektionspartner zu überwälzen, sondern die Dienstleistung kann auch billiger angeboten werden. Überschritten werden darf die Preisobergrenze aber nicht. d) Damit kommt es im Ergebnis nicht darauf an, ob die im vorliegenden Verfahren fragliche Dienstleistung, die Verbindung mit einer Gratisnummer (0800-Nummer) eines anderen Fernmeldedienstanbieters von einer öffentlichen Sprechstelle der Beschwerdeführerin aus, überhaupt zum Interkonnektionsregime gehört oder nicht. Die Preisobergrenze von Art. 23 Abs. 1 lit. d FDV gilt so oder so, und zwar nicht nur gegenüber den Endkonsumenten, sondern auch gegenüber den konkurrierenden Fernmeldedienstanbietern.</w:t>
      </w:r>
    </w:p>
    <w:p>
      <w:r>
        <w:rPr>
          <w:b/>
        </w:rPr>
        <w:t>E. 4</w:t>
      </w:r>
    </w:p>
    <w:p>
      <w:r>
        <w:t>a) Ist die Beschwerdeführerin an die Preisobergrenze von Art. 23 Abs. 1 lit. d FDV in jedem Fall gebunden, rechtfertigt sich in Anwendung von Art. 58 FMG eine aufsichtsrechtliche Kontrolle darüber, ob sie die entsprechende gesetzliche Regelung einhält. b) Es ist offensichtlich, dass sich ein Preis von 24,74 Rappen pro Minute mit der gesetzlichen Preisobergrenze nicht vereinbaren lässt. Bereits ein relativ kurzes Telefongespräch von einer Dauer, die zwei Minuten nur unwesentlich übersteigt, führt zu einem höheren BGE 127 II 8 S. 17 Zuschlag, als er dem Preismaximum von 50 Rappen gemäss Art. 23 Abs. 1 lit. d FDV entspricht. Die Vorinstanz hat es dabei bewenden lassen, die Beschwerdeführerin in Anwendung von Art. 58 Abs. 2 lit. a FMG zu einer Behebung des festgestellten Mangels aufzufordern und sie zu verpflichten, innert 30 Tagen über die getroffenen Massnahmen Bericht zu erstatten. Die Beschwerdeführerin konnte sich dazu vorweg äussern. Das Vorgehen war korrekt, und das Ergebnis erweist sich gemessen am Gesetzeszweck, die kostengünstige Grundversorgung sicherzustellen, als geeignet, erforderlich und angebracht, kurz als verhältnismässig. Dabei ist auch zu berücksichtigen, dass die Beschwerdeführerin ursprünglich das Bundesamt für Kommunikation zur Rechtslage angefragt hat und aufgrund von dessen Antworten mit Massnahmen der Aufsichtsbehörde rechnen musste. c) Die Beschwerdeführerin hält dafür, der angefochtene Entscheid verletze sie in ihrer Wirtschaftsfreiheit nach Art. 27 BV . Es ist fraglich, ob sich die Beschwerdeführerin als zur Erfüllung einer öffentlichen Aufgabe konzessionierte gemischtwirtschaftliche Aktiengesellschaft, an welcher der Bund von Gesetzes wegen die kapital- und stimmenmässige Mehrheit hält (Art. 6 Abs. 1 des Bundesgesetzes vom 30. April 1997 über die Organisation der Telekommunikationsunternehmung des Bundes, Telekommunikationsunternehmungsgesetz, TUG [SR 784.11]; vgl. BGE 125 II 293 E. 4f S. 307 f.), überhaupt auf die Wirtschaftsfreiheit berufen kann (vgl. dazu etwa RHINOW/SCHMID/BIAGGINI, Öffentliches Wirtschaftsrecht, Basel/Frankfurt a.M. 1998, § 5 Rz. 43 ff. und 84 ff.). Dies kann vorliegend aber dahingestellt bleiben, da ein allfälliger Eingriff ohnehin die dafür erforderlichen Voraussetzungen (vgl. Art. 36 und 94 BV ) erfüllen würde. Der Bund hat die verfassungsmässige Kompetenz zur Regelung des Fernmeldewesens und damit zur Abweichung vom Grundsatz der Wirtschaftsfreiheit, wobei er insbesondere für eine ausreichende und preiswerte Grundversorgung zu sorgen hat ( Art. 92 BV ). Der angefochtene Entscheid beruht auf einer genügenden gesetzlichen Grundlage ( Art. 17 Abs. 2 FMG und Art. 23 Abs. 1 lit. d FDV ), er verfolgt das öffentliche, schon in der Verfassung anerkannte Interesse der Gewährleistung einer kostengünstigen Grundversorgung, und er ist, wie bereits dargelegt,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