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174</w:t>
      </w:r>
    </w:p>
    <w:p>
      <w:r>
        <w:t>Bundesgericht (BGE), 2021-01-01, DE</w:t>
      </w:r>
    </w:p>
    <w:p>
      <w:r>
        <w:rPr>
          <w:b/>
        </w:rPr>
        <w:t xml:space="preserve">Quelle: </w:t>
      </w:r>
      <w:r>
        <w:t>https://mcp.opencaselaw.ch/entscheid/bge_BGE_127_II_174</w:t>
      </w:r>
    </w:p>
    <w:p>
      <w:r>
        <w:t>FR: ATF 127 II 174</w:t>
      </w:r>
    </w:p>
    <w:p>
      <w:r>
        <w:t>IT: DTF 127 II 174</w:t>
      </w:r>
    </w:p>
    <w:p>
      <w:pPr>
        <w:pStyle w:val="Heading2"/>
      </w:pPr>
      <w:r>
        <w:t>Regeste</w:t>
      </w:r>
    </w:p>
    <w:p>
      <w:r>
        <w:t>Regeste Art. 13b Abs. 2 und Art. 13c Abs. 2 ANAG; Art. 110 Ziff. 6 StGB; Fristberechnung bei den Zwangsmassnahmen im Ausländerrecht. Zur Festlegung der Dauer der Ausschaffungs- oder Vorbereitungshaft ist - wie zur Bestimmung der Frist von 96 Stunden, innert der diese jeweils richterlich zu prüfen sind - auf den Zeitpunkt abzustellen, ab dem der Betroffene tatsächlich aus ausländerrechtlichen Gründen festgehalten wird (E. 2b/aa). Im Übrigen bestimmt sich die Dauer in Anlehnung an Art. 110 Ziff. 6 StGB "nach der Kalenderzeit" (E. 2b/cc).</w:t>
      </w:r>
    </w:p>
    <w:p>
      <w:r>
        <w:t>Regeste Art. 13b al. 2 et art. 13c al. 2 LSEE; art. 110 ch. 6 CP; calcul d'un délai dans le cadre des mesures de contrainte du droit des étrangers. Pour établir la durée de la détention préparatoire ou en vue du refoulement - comme pour déterminer le délai de 96 heures, durant lequel elle doit être examinée par une autorité judiciaire -, il faut se fonder sur le moment à partir duquel l'intéressé a effectivement été détenu pour des motifs de droit des étrangers (consid. 2b/aa). Au surplus, la durée se détermine de quantième à quantième sur le modèle de l'art. 110 ch. 6 CP (consid. 2b/cc).</w:t>
      </w:r>
    </w:p>
    <w:p>
      <w:r>
        <w:t>Regesto Art. 13b cpv. 2 e art. 13c cpv. 2 LDDS; art. 110 n. 6 CP; computo del termine nell'ambito delle misure coercitive del diritto degli stranieri. Per determinare la durata della carcerazione preparatoria o della carcerazione in vista di sfratto - così come per stabilire il termine di 96 ore entro il quale essa deve essere esaminata da un'autorità giudiziaria -, occorre riferirsi al momento a partire dal quale l'interessato è stato effettivamente incarcerato per motivi di diritto degli stranieri (consid. 2b/aa). Inoltre, la durata va determinata "secondo il calendario comune", conformemente al modello dell'art. 110 n. 6 CP (consid. 2b/cc).</w:t>
      </w:r>
    </w:p>
    <w:p>
      <w:pPr>
        <w:pStyle w:val="Heading2"/>
      </w:pPr>
      <w:r>
        <w:t>Erwägungen</w:t>
      </w:r>
    </w:p>
    <w:p>
      <w:r>
        <w:rPr>
          <w:b/>
        </w:rPr>
        <w:t>E. 2</w:t>
      </w:r>
    </w:p>
    <w:p>
      <w:r>
        <w:t>b) aa) Nach Art. 13b Abs. 2 des Bundesgesetzes vom 26. März 1931 über Aufenthalt und Niederlassung der Ausländer (ANAG; SR 142.20) darf die Ausschaffungshaft höchstens drei Monate dauern; stehen dem Vollzug der Weg- oder Ausweisung besondere Hindernisse entgegen, so kann sie mit Zustimmung der kantonalen richterlichen Behörde um höchstens sechs Monate verlängert werden. Dabei beginnt die Frist, was der Haftrichter vorliegend verkannt hat, nicht erst von dem Moment an zu laufen, in dem der Ausländer an die Fremdenpolizei überstellt wird oder diese formell die Haft anordnet; entscheidend ist vielmehr - wie bei der Berechnung der Frist von 96 Stunden, innert welcher die Haft richterlich zu überprüfen ist -, ab wann der Betroffene tatsächlich aus BGE 127 II 174 S. 176 ausländerrechtlichen Gründen festgehalten wird (vgl. BGE 121 II 105 E. 2a; Praxis jüngst bestätigt im unveröffentlichten Urteil des Bundesgerichts vom 6. März 2001 i.S. D., E. 2; ALAIN WURZBURGER, La jurisprudence récente du Tribunal fédéral en matière de police des étrangers, in: RDAF 1997 I S. 337; ANDREAS ZÜND, Die Rechtsprechung des Bundesgerichts zu den Zwangsmassnahmen im Ausländerrecht, in: ZBJV 132/1996 S. 75 f.). Erfolgt die Anhaltung sowohl im Hinblick auf fremdenpolizeiliche Massnahmen als auch im Zusammenhang mit einer Strafverfolgung, ist in der Regel die Entlassung aus der Untersuchungshaft massgebend (so unveröffentlichtes Urteil des Bundesgerichts vom 4. Oktober 1996 i.S. M., E. 1b; ZÜND, a.a.O., S. 76). bb) Der Beschwerdeführer ist vorliegend am späteren Nachmittag des 27. Februars 2001 durch die Kantonspolizei Bern wegen seines gefälschten Reisepapiers auf dem Flugplatz Bern-Belp angehalten worden (geplanter Abflug: 17.10 Uhr). Nach den üblichen Identitätsabklärungen, welche im Rahmen des Polizeiverhafts erfolgen konnten, stand tags darauf fest, dass der Betroffene von Bern nach Luzern zwecks "Zuführung an die Fremdenpolizei" zu transferieren sei (so der Transportbefehl und -auftrag), wo er um 17.00 Uhr eintraf (Abfahrt 13.15 Uhr). Damit war seine Haft aber spätestens seit dem Mittag des 28. Februars 2001 ausländerrechtlich begründet, weshalb die Frist von 96 Stunden und die Haftdauer von drei Monaten ab diesem Zeitpunkt zu laufen begannen. Die Haftprüfung erfolgte am 2. März 2001 und damit trotz der falschen Fristberechnung innerhalb der gesetzlich vorgeschriebenen 96 Stunden; hingegen hat das Verwaltungsgericht die Dauer von drei Monaten - wie der Beschwerdeführer zu Recht einwendet - bundesrechtswidrig erst ab der Haftanordnung am 1. März 2001 laufen lassen. cc) Fraglich erscheint noch, wie die Frist von drei Monaten zu berechnen ist, d.h. ob sie bis zum 27. oder bis zum 28. Mai 2001 läuft: Das Bundesgesetz über Aufenthalt und Niederlassung der Ausländer enthält keine Definition darüber, was im Rahmen der Zwangsmassnahmen unter einem Monat zu verstehen ist. Unter diesen Umständen rechtfertigt es sich, hierfür auf Art. 110 Ziff. 6 StGB zurückzugreifen, wonach der Monat und das Jahr jeweils "nach der Kalenderzeit" berechnet werden. Eine einmonatige Haft läuft bei dieser Betrachtungsweise, wenn die Haft am 28. Februar 2001 (gleichgültig um welche Zeit) angetreten wird, am 27. März 2001 ab. Die Berechnung gemäss Kalender hat damit zur Folge, dass die Gesamtdauer von einem Monat möglicherweise nicht exakt 30 Tage BGE 127 II 174 S. 177 oder allenfalls ein Vielfaches davon beträgt (im Resultat bereits so die unveröffentlichte E. 5a von BGE 126 II 439 ff.). Vorliegend wurde die für drei Monate bewilligte Haft am 28. Februar 2001 angetreten; sie endet somit am 27.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