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129</w:t>
      </w:r>
    </w:p>
    <w:p>
      <w:r>
        <w:t>Bundesgericht (BGE), 2001-01-01, DE</w:t>
      </w:r>
    </w:p>
    <w:p>
      <w:r>
        <w:rPr>
          <w:b/>
        </w:rPr>
        <w:t xml:space="preserve">Quelle: </w:t>
      </w:r>
      <w:r>
        <w:t>https://mcp.opencaselaw.ch/entscheid/bge_BGE_127_II_129</w:t>
      </w:r>
    </w:p>
    <w:p>
      <w:r>
        <w:t>FR: ATF 127 II 129</w:t>
      </w:r>
    </w:p>
    <w:p>
      <w:r>
        <w:t>IT: DTF 127 II 129</w:t>
      </w:r>
    </w:p>
    <w:p>
      <w:pPr>
        <w:pStyle w:val="Heading2"/>
      </w:pPr>
      <w:r>
        <w:t>Regeste</w:t>
      </w:r>
    </w:p>
    <w:p>
      <w:r>
        <w:t>Regeste Art. 24a Abs. 1 und Art. 7 Abs. 3 lit. b VZV; Kontrollfahrt, vertrauensärztliche Untersuchung. Die Kontrollfahrt kann angeordnet werden zur Abklärung, ob ein älterer auffälliger Lenker noch als geeignet erscheint. Die bei Ausweisinhabern von mehr als 70 Jahren alle zwei Jahre durchzuführende vertrauensärztliche Untersuchung schliesst eine Kontrollfahrt nicht aus.</w:t>
      </w:r>
    </w:p>
    <w:p>
      <w:r>
        <w:t>Regeste Art. 24a al. 1 et art. 7 al. 3 let. b OAC; course de contrôle, examen par un médecin-conseil. Une course de contrôle peut être ordonnée pour un conducteur d'un certain âge, dont la capacité de conduire suscite des doutes. Le contrôle médical imposé tous les deux ans aux titulaires de permis ayant plus de 70 ans n'exclut pas une course de contrôle.</w:t>
      </w:r>
    </w:p>
    <w:p>
      <w:r>
        <w:t>Regesto Art. 24a cpv. 1 e art. 7 cpv. 3 lett. b OAC; corsa di controllo, esame effettuato da un medico di fiducia. Se esistono dubbi sull'idoneità alla guida di un conducente di una certa età, può essere ordinata una corsa di controllo. La visita medica obbligatoria prevista ogni due anni per i titolari di licenze con più di 70 anni non lo esclude.</w:t>
      </w:r>
    </w:p>
    <w:p>
      <w:pPr>
        <w:pStyle w:val="Heading2"/>
      </w:pPr>
      <w:r>
        <w:t>Erwägungen</w:t>
      </w:r>
    </w:p>
    <w:p>
      <w:r>
        <w:rPr>
          <w:b/>
        </w:rPr>
        <w:t>E. 3</w:t>
      </w:r>
    </w:p>
    <w:p>
      <w:r>
        <w:t>Die Beschwerdeführerin macht geltend, die Voraussetzungen für die Anordnung der Kontrollfahrt seien nicht gegeben. a) Bestehen Bedenken über die Eignung eines Fahrzeugführers, so kann zur Abklärung der notwendigen Massnahmen eine Kontrollfahrt angeordnet werden ( Art. 24a Abs. 1 der Verordnung vom 27. Oktober 1976 über die Zulassung von Personen und Fahrzeugen zum Strassenverkehr [VZV; SR 741.51] ). Die Kontrollfahrt kann angeordnet werden zur Abklärung, ob ein älterer BGE 127 II 129 S. 131 auffälliger Fahrzeuglenker noch als geeignet erscheint (RENÉ SCHAFFHAUSER, Grundriss des schweizerischen Strassenverkehrsrechts, Bd. III: Die Administrativmassnahmen, Bern 1995, N. 2664). Die Kontrollfahrt dient der Verkehrssicherheit. Es geht nicht um die Abgeltung des Verschuldens; dafür wurden hier der Warnungsentzug des Führerausweises und die Bussen ausgesprochen. Bei der Frage, ob eine Kontrollfahrt anzuordnen sei, verfügt die Verwaltungsbehörde über einen Spielraum des Ermessens. Das Bundesgericht greift nur ein bei Ermessensüberschreitung oder -missbrauch. b) Die Beschwerdeführerin hat den ersten Unfall grob fahrlässig verursacht. Sie ist dem korrekt fahrenden Unfallgegner in einer übersichtlichen, einfachen und leicht erfassbaren Situation in die Seite hineingefahren. Dieser erste Unfall bildet ein erhebliches Indiz für eine Beeinträchtigung der Fähigkeit zum sicheren Führen eines Motorfahrzeuges. Hinzu kommt der zweite Unfall vergleichsweise kurze Zeit danach, bei dem die Beschwerdeführerin erneut das Vortrittsrecht missachtete. Auf Grund dieser beiden Unfälle bestand Anlass zu Bedenken hinsichtlich der Eignung der Beschwerdeführerin. Die Kontrollfahrt wird, wie dargelegt, angeordnet im Interesse der Verkehrssicherheit; es geht um den Schutz möglicher Opfer im Strassenverkehr. Dieses Interesse ist hochwertig. Die Kontrollfahrt stellt für die Beschwerdeführerin - insbesondere im Vergleich zum Führerausweisentzug von einem Monat - einen leichten Eingriff dar. Sie muss lediglich mit einem Experten eine Fahrt absolvieren. Dieser Eingriff ist mit Blick auf das gefährdete Rechtsgut - Leib und Leben der Verkehrsteilnehmer - verhältnismässig. Gemäss Art. 7 Abs. 3 lit. b VZV unterliegen die Ausweisinhaber von mehr als 70 Jahren alle zwei Jahre einer vertrauensärztlichen Kontrolluntersuchung. Das schliesst die Anordnung einer Kontrollfahrt nicht aus. Der Arzt äussert sich zur medizinischen Eignung (Sehschärfe, Gehör usw.). Er kann nicht im Arztzimmer beurteilen, wie sich jemand am Steuer verhält. Erkenntnisse dazu lassen sich aus einer Kontrollfahrt gewinnen. Es wäre im Übrigen verfehlt, in einem Fall wie hier den Ablauf der Frist von zwei Jahren nach Art. 7 Abs. 3 lit. b VZV abzuwarten. Verhält sich der Lenker auffällig, ist die Eignung unverzüglich abzuklären. Die Anordnung der Kontrollfahrt liegt danach im Ermessensbereich und verletzt kein Bundesrecht. c) Anzumerken bleibt Folgendes: Die Kontrollfahrt ist keine Strafe. Es geht darum, die Eignung abzuklären und festzustellen, BGE 127 II 129 S. 132 welche Massnahmen gegebenenfalls erforderlich sind. Das liegt gerade in einem Fall wie hier auch im Interesse des Fahrzeugführers. Denn fehlt ihm die Eignung zum Führen eines Fahrzeuges, ist es auch für ihn besser, wenn er aufhört zu fahren, bevor es zu einem weiteren und dann möglicherweise schwereren Unfall kommt. Ist dagegen die Eignung auch künftig zu bejahen, kann ihm die Kontrollfahrt gegebenenfalls Erkenntnisse vermitteln, die ihm für seine weitere Teilnahme am Strassenverkehr hilfreich sein können. d) Die Einwände der Beschwerdeführerin sind unbehelflich. Wie dargelegt, kann die Lungenentzündung als Erklärung für ihr Verhalten beim ersten Unfall nicht herangezogen werden. Zutreffend ist, dass keine grundsätzliche Vermutung besteht, wonach sich ältere Personen nicht mehr als Fahrzeugführer eignen. Von einer solchen Vermutung sind die kantonalen Behörden aber nicht ausgegangen. Sie haben die Kontrollfahrt nicht allein wegen des Alters der Beschwerdeführerin angeordnet, sondern weil diese auf Grund von zwei ähnlichen Unfällen innert kurzer Zeit verkehrsauffällig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