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122</w:t>
      </w:r>
    </w:p>
    <w:p>
      <w:r>
        <w:t>Bundesgericht (BGE), 2000-01-01, DE</w:t>
      </w:r>
    </w:p>
    <w:p>
      <w:r>
        <w:rPr>
          <w:b/>
        </w:rPr>
        <w:t xml:space="preserve">Quelle: </w:t>
      </w:r>
      <w:r>
        <w:t>https://mcp.opencaselaw.ch/entscheid/bge_BGE_127_II_122</w:t>
      </w:r>
    </w:p>
    <w:p>
      <w:r>
        <w:t>FR: ATF 127 II 122</w:t>
      </w:r>
    </w:p>
    <w:p>
      <w:r>
        <w:t>IT: DTF 127 II 122</w:t>
      </w:r>
    </w:p>
    <w:p>
      <w:pPr>
        <w:pStyle w:val="Heading2"/>
      </w:pPr>
      <w:r>
        <w:t>Regeste</w:t>
      </w:r>
    </w:p>
    <w:p>
      <w:r>
        <w:t>Regeste Art. 14 Abs. 2 lit. c, Art. 16 Abs. 1 und Art. 17 Abs. 1bis SVG; Art. 30 Abs. 1 VZV; Sicherungsentzug des Führerausweises, Drogensucht, Abklärung der Fahreignung. Der regelmässige Konsum von Drogen, der seiner Häufigkeit und Menge nach geeignet ist, die Fahreignung zu beeinträchtigen, ist der Drogenabhängigkeit gleichzustellen (E. 3c). Ein die momentane Fahrfähigkeit beinträchtigender Cannabiskonsum kann unter Umständen Anlass bieten, die generelle Fahreignung des Betroffenen durch ein Fachgutachten abklären zu lassen (E. 4b).</w:t>
      </w:r>
    </w:p>
    <w:p>
      <w:r>
        <w:t>Regeste Art. 14 al. 2 let. c, art. 16 al. 1 et art. 17 al. 1bis LCR; art. 30 al. 1 OAC; retrait de sécurité du permis de conduire, toxicomanie, examen de l'aptitude à conduire. La consommation régulière de drogue susceptible de diminuer l'aptitude à conduire, en raison de sa fréquence et des quantités consommées, doit être assimilée à une dépendance de la drogue (consid. 3c). Une consommation de cannabis qui diminue momentanément la capacité de conduire peut justifier, dans certaines circonstances, le contrôle par un expert spécialisé de l'aptitude générale de conduire de l'intéressé (consid. 4b).</w:t>
      </w:r>
    </w:p>
    <w:p>
      <w:r>
        <w:t>Regesto Art. 14 cpv. 2 lett. c, art. 16 cpv. 1 e art. 17 cpv. 1bis LCStr; art. 30 cpv. 1 OAC; revoca a scopo di sicurezza della licenza di condurre, tossicomania, esame dell'idoneità alla guida. Il consumo regolare di droghe deve essere equiparato a una dipendenza dalle stesse qualora, a causa della sua frequenza e dei quantitativi, esso provochi una diminuzione dell'idoneità alla guida (consid. 3c). In alcuni casi, il consumo di canapa indiana, che altera in modo momentaneo le capacità del conducente, può giustificare una perizia medica sull'idoneità alla guida dell'interessato (consid. 4b).</w:t>
      </w:r>
    </w:p>
    <w:p>
      <w:pPr>
        <w:pStyle w:val="Heading2"/>
      </w:pPr>
      <w:r>
        <w:t>Erwägungen</w:t>
      </w:r>
    </w:p>
    <w:p>
      <w:r>
        <w:rPr>
          <w:b/>
        </w:rPr>
        <w:t>E. 2</w:t>
      </w:r>
    </w:p>
    <w:p>
      <w:r>
        <w:t>a) Das beschwerdeführende Amt macht geltend, der Beschwerdegegner sei am Tag des Verkehrsunfalls schon am Morgen unter dem akuten Einfluss von Cannabis gestanden. Auf Grund der vom IRM festgestellten THC-COOH-Konzentration von 71,3 ng/ml sei zudem davon auszugehen, dass dieser kein blosser Gelegenheitskonsument sei. Überdies sei er als BGE 127 II 122 S. 124 Betäubungsmittelkonsument verzeichnet und habe nach seinen eigenen Angaben zwei Jahre vor dem Unfall harte Drogen konsumiert. Auf Grund dieser Umstände ergäben sich nicht auszuräumende Zweifel darüber, dass der Beschwerdegegner ein weiteres Mal unter dem Einfluss von Cannabis in verkehrsgefährdender Weise ein Motorfahrzeug lenken werde. Die Vorinstanz hätte den Fall daher nicht nur unter dem Gesichtspunkt der Verkehrsgefährdung und des Verschuldens beurteilen dürfen. Sie hätte vielmehr ein verkehrsmedizinisches und -psychologisches Gutachten über die Fahreignung des Beschwerdegegners anordnen müssen, namentlich zur Abklärung der Frage, ob der Beschwerdegegner in der Lage sei, Cannabiskonsum und Strassenverkehr hinreichend zu trennen. b) Die Vorinstanz beurteilt das Verschulden des Beschwerdegegners und die von ihm zu verantwortende Verkehrsgefährdung als äusserst schwer. Hinsichtlich seiner Fahreignung und zur Frage einer möglichen Drogensucht verweist sie auf die vom Beschwerdegegner beigebrachte Bestätigung seines Hausarztes, welcher eine Drogensucht klar verneint. c) Der Beschwerdegegner bringt vor, im Zeitpunkt des Unfalls hätten bei ihm keine Anzeichen für eine Drogensucht bestanden. Jedenfalls genüge der gelegentliche Konsum von Cannabis nicht, um eine Drogenabhängigkeit anzunehmen bzw. ein medizinisches Gutachten über die Fahreignung anzuordnen. Die Abklärungen der kantonalen Behörden erschienen daher als ausreichend. Zudem sei er sich in der Zwischenzeit der möglichen Auswirkungen des Cannabiskonsums auf seine Fahrfähigkeit bewusst geworden.</w:t>
      </w:r>
    </w:p>
    <w:p>
      <w:r>
        <w:rPr>
          <w:b/>
        </w:rPr>
        <w:t>E. 3</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der Verordnung vom 27. Oktober 1976 über die Zulassung von Personen und Fahrzeugen zum Strassenverkehr (VZV; SR 741.51) der Sicherung des Verkehrs vor Fahrzeuglenkern, die aus medizinischen oder charakterlichen Gründen, wegen Trunksucht oder anderen Süchten oder wegen einer anderen Unfähigkeit zum Führen von Motorfahrzeugen nicht geeignet sind. In solchen Fällen, namentlich wenn die Fahreignung wegen Trunksucht oder anderen Suchtkrankheiten aufgehoben ist, wird der Führerausweis gemäss Art. 17 Abs. 1bis SVG auf unbestimmte Zeit entzogen. BGE 127 II 122 S. 125 b) Der Sicherungsentzug wegen Trunksucht oder anderer Suchtkrankheiten wird gemäss Art. 14 Abs. 2 lit. c i.V.m. Art. 17 Abs. 1bis SVG auf unbestimmte Zeit angeordnet und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bzw. der Konsumgewohnheiten anderer Drogen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Ein Verzicht auf eine spezialärztliche Begutachtung ist nur ausnahmsweise, etwa in Fällen offensichtlicher, schwerer Drogenabhängigkeit, gerechtfertigt ( BGE 126 II 185 E. 2a und 361 E. 3a; BGE 120 Ib 305 E. 4b, je mit Hinweisen). c) Voraussetzung für den Sicherungsentzug gemäss Art. 14 Abs. 2 lit. c i.V.m. Art. 17 Abs. 1bis SVG ist das Vorliegen einer Sucht. Trunksucht wird bejaht, wenn der Betreffende regelmässig so viel Alkohol konsumiert, dass seine Fahrfähigkeit vermindert wird und er diese Neigung zum übermässigen Alkoholgenuss durch den eigenen Willen nicht zu überwinden vermag. Nach der neueren Rechtsprechung des Bundesgerichts ist bei Personen, bei denen die Blutalkoholkonzentration 2,5 und mehr Promille beträgt, eine medizinische Fahreignungsuntersuchung anzuordnen, auch wenn sie während der letzten fünf Jahre vor der aktuellen Trunkenheitsfahrt keine einschlägige Widerhandlung begangen haben. Denn wer eine derart hohe Blutalkoholkonzentration aufweist, verfügt über eine so grosse Alkoholtoleranz, dass in aller Regel auf eine Alkoholabhängigkeit geschlossen werden muss ( BGE 126 II 185 E. 2d und e). Dasselbe gilt für einen Lenker, der ein erstes Mal mit mindestens 1,74 Promille gefahren und sich rund ein Jahr später wiederum angetrunken, mit einer Blutalkoholkonzentration von mindestens 1,79 Promille, ans Steuer gesetzt hat ( BGE 126 II 361 E. 3c). BGE 127 II 122 S. 126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 BGE 124 II 559 E. 2b; BGE 120 Ib 305 E. 3c, je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 BGE 124 II 559 E. 3d).</w:t>
      </w:r>
    </w:p>
    <w:p>
      <w:r>
        <w:rPr>
          <w:b/>
        </w:rPr>
        <w:t>E. 4</w:t>
      </w:r>
    </w:p>
    <w:p>
      <w:r>
        <w:t>a) Das Strassenverkehrs- und Schifffahrtsamt des Kantons Bern forderte den Beschwerdegegner am 1. Dezember 1998 gestützt auf die Verzeigung wegen Führens eines Personenwagens unter Einfluss von Drogen auf, ein ärztliches Zeugnis eines Arztes seiner Wahl gemäss beigelegtem Formular einzureichen, in welchem ausführlich zu dessen Fahrtauglichkeit und zur Frage einer möglichen Drogensucht Stellung genommen werde. Nachdem er mehrmals gemahnt werden musste, reichte der Beschwerdegegner am 9. April 1999 ein Zeugnis seines Hausarztes ein, in welchem dieser bestätigte, dass sein Patient weder von ihm noch von anderen Ärzten je wegen Drogenkonsums behandelt worden sei. Gestützt darauf teilte das Amt dem Beschwerdegegner mit, es erachte seine Fahreignung als gegeben, und sistierte den Entscheid im Administrativverfahren bis zum Abschluss der strafrechtlichen Beurteilung. Das IRM nahm im vorliegenden Fall die chemisch-toxikologische Untersuchung vor. Seinem der Strafbehörde am 26. Januar 1999 erstatteten Bericht zufolge stand der Beschwerdegegner im Zeitpunkt des Unfalls unter dem akuten Einfluss von Cannabis, was zu einer Einschränkung seiner Fahrfähigkeit geführt hat. Das IRM empfahl auf Grund dessen eine Überprüfung der Fahreignung durch die zuständige Behörde. Nach Abschluss der strafrechtlichen Beurteilung verfügte die Administrativbehörde einen zweimonatigen Warnungsentzug. Diesen Entscheid schützte die Vorinstanz. Sie hielt aber fest, beim Beschwerdegegner handle es sich entgegen seinen Behauptungen nicht bloss um einen Wochenendkonsumenten von Drogen. Insbesondere treffe seine im kantonalen Verfahren vorgebrachte BGE 127 II 122 S. 127 Behauptung, er habe letztmals am Donnerstagabend vor dem Unfall Haschisch geraucht, nicht zu. b) Nach der Rechtsprechung erlaubt ein regelmässiger, aber kontrollierter und mässiger Haschischkonsum für sich allein noch nicht den Schluss auf eine fehlende Fahreignung ( BGE 124 II 559 E. 4d und e). Ob diese gegeben ist, kann ohne Angaben über die Konsumgewohnheiten des Betroffenen, namentlich über Häufigkeit, Menge und Umstände des Cannabiskonsums und des allfälligen Konsums weiterer Betäubungsmittel und/oder Alkohol, sowie zu seiner Persönlichkeit, insbesondere hinsichtlich Drogenmissbrauch und Strassenverkehr, nicht beurteilt werden ( BGE 124 II 559 E. 4e und 5a). Aus dem angeführten Entscheid ergibt sich indessen, dass ein die momentane Fahrfähigkeit beeinträchtigender Cannabiskonsum Anlass bieten kann, die generelle Fahreignung des Betroffenen durch ein Fachgutachten näher abklären zu lassen. So verhält es sich auch im zu beurteilenden Fall. Der Beschwerdegegner war den Behörden als Betäubungsmittelkonsument bekannt, konsumierte am fraglichen Tag bereits am Morgen Cannabis und verursachte unter akutem Cannabiseinfluss einen schweren Unfall mit hiefür typischen Fahrfehlern. Nach seinen eigenen Angaben raucht er ca. einmal pro Woche Haschisch und konsumierte ausserdem früher, d.h. ca. zwei Jahre vor dem Unfall, harte Drogen. Dass die Administrativbehörde in Anbetracht dieser Umstände und angesichts des rechtsmedizinischen Befundes, der auf einen starken Konsumenten hinweist (PETER X. ITEN, Fahren unter Drogen- oder Medikamenteneinfluss, Forensische Interpretation und Begutachtung, Zürich 1994, S. 114), daran gezweifelt hat, ob der Beschwerdegegner in der Lage sei, Haschischkonsum und Strassenverkehr ausreichend zu trennen, und auf Grund dessen eine Abklärung seiner Fahreignung anordnete, ist nicht zu beanstanden. Wenn das Strassenverkehrs- und Schifffahrtsamt aber eine solche Abklärung für erforderlich hielt, durfte es sich nicht mit der Bestätigung des Hausarztes des Beschwerdegegners begnügen, die letztlich bloss in einer knappen und - auf Grund missverständlicher Fragestellung - unklaren Beantwortung vorgedruckter Fragen auf dem beigelegten Formular "Ärztliches Zeugnis betreffend Fahreignung nach Drogenkonsum" bestand. Dies gilt nicht zuletzt im Hinblick auf einen allfälligen Interessenkonflikt des Arztes. Unter diesen Umständen war das ärztliche Zeugnis unzureichend. Die Abklärungen der Administrativbehörden erweisen sich daher als offensichtlich unvollständig. Wie das beschwerdeführende Amt zu BGE 127 II 122 S. 128 Recht vorbringt, hätte das Strassenverkehrs- und Schifffahrtsamt - spätestens jedenfalls zum Zeitpunkt der Einreichung des ungenügenden ärztlichen Berichts im Frühjahr 1999 - ein verkehrsmedizinisches und -psychologisches Gutachten durch ein spezialisiertes Institut anordnen müssen und das Administrativverfahren nicht bis zum Abschluss der strafrechtlichen Beurteilung aufschieben dürfen. Indem sowohl das Amt als auch die Vorinstanz auf die Einholung eines solchen Gutachtens verzichteten, haben sie ihre Ermittlungspflicht verletzt (vgl. BGE 120 Ib 305 E. 4d und 5a). Dass bis zum Entscheid der Vorinstanz etliche Zeit verstrichen und der Beschwerdegegner bis dahin nicht mehr auffällig geworden ist, kann an der Notwendigkeit einer Begutachtung nichts ändern, zumal der Zeitablauf nicht nur auf die unkoordinierte Zusammenarbeit zwischen Straf- und Administrativbehörden, sondern zu einem guten Teil auch auf das an Trölerei grenzende Verhalten des Beschwerdegegners selbst zurückzuführen ist. Die Beschwerde erweist sich somit als begründet. c) Die Dauer des Warnungsentzugs von zwei Monaten ist unbestritten. Sollte die Abklärung des Sachverständigen ergeben, dass beim Beschwerdegegner kein Eignungsmangel vorliegt und deshalb ein Sicherungsentzug nicht erforderlich ist, bleibt es beim angefochtenen Entscheid.</w:t>
      </w:r>
    </w:p>
    <w:p>
      <w:r>
        <w:rPr>
          <w:b/>
        </w:rPr>
        <w:t>E. 5</w:t>
      </w:r>
    </w:p>
    <w:p>
      <w:r>
        <w:t>Insgesamt erweisen sich die Abklärungen der Vorinstanz als offensichtlich unvollständig. Dies führt, wenn das Bundesgericht nicht selbst in der Sache entscheidet, zur Aufhebung und Rückweisung der Sache an die Vorinstanz ( Art. 114 Abs. 2 OG ). Hat diese als Beschwerdeinstanz entschieden, so kann das Bundesgericht die Sache auch an die Behörde zurückweisen, die in erster Instanz verfügt hat. Im vorliegenden Fall erscheint es als angebracht, die Sache an das Strassenverkehrs- und Schifffahrtsamt zurückzuweisen, das in erster Linie zur Einholung eines medizinischen Gutachtens verpflichtet gewesen wäre. Dabei liegt es im Ermessen dieser Behörde, gegebenenfalls gestützt auf Art. 35 Abs. 3 VZV vorsorglich einen sofortigen Entzug des Führerausweises bis zur Abklärung von Ausschlussgründen anzuordnen. Darüber wird sie von Amtes wegen zu befinden haben, womit sich eine entsprechende Auflage erübrigt. Obschon der vorsorgliche Entzug in solchen Fällen die Regel bildet ( BGE 125 II 396 E. 3), wird hier zu berücksichtigen sein, wie sich der Beschwerdegegner in der Zwischenzeit im Strassenverkehr verhalten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