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83</w:t>
      </w:r>
    </w:p>
    <w:p>
      <w:r>
        <w:t>Bundesgericht (BGE), 2000-01-01, DE</w:t>
      </w:r>
    </w:p>
    <w:p>
      <w:r>
        <w:rPr>
          <w:b/>
        </w:rPr>
        <w:t xml:space="preserve">Quelle: </w:t>
      </w:r>
      <w:r>
        <w:t>https://mcp.opencaselaw.ch/entscheid/bge_BGE_127_III_83</w:t>
      </w:r>
    </w:p>
    <w:p>
      <w:r>
        <w:t>FR: ATF 127 III 83</w:t>
      </w:r>
    </w:p>
    <w:p>
      <w:r>
        <w:t>IT: DTF 127 III 83</w:t>
      </w:r>
    </w:p>
    <w:p>
      <w:pPr>
        <w:pStyle w:val="Heading2"/>
      </w:pPr>
      <w:r>
        <w:t>Regeste</w:t>
      </w:r>
    </w:p>
    <w:p>
      <w:r>
        <w:t>Regeste Unverjährbarkeit der Einrede der Täuschung (Art. 60 Abs. 3 OR); Verhältnis zwischen Ansprüchen aus kaufrechtlicher Sachgewährleistung und Vertragsanfechtung wegen Willensmängeln. Frist für die einredeweise Geltendmachung von Willensmängeln (Art. 31 Abs. 1 und Art. 60 Abs. 3 OR) (E. 1a). Genehmigung des Vertrages durch Geltendmachung von kaufrechtlichen Sachgewährleistungsrechten (E. 1b).</w:t>
      </w:r>
    </w:p>
    <w:p>
      <w:r>
        <w:t>Regeste Imprescriptibilité de l'exception de dol (art. 60 al. 3 CO); relation entre les prétentions fondées sur la garantie en raison des défauts de la chose vendue et l'invalidation du contrat pour vices du consentement. Délai pour faire valoir les vices du consentement par voie d'exception (art. 31 al. 1 et art. 60 al. 3 CO) (consid. 1a). Ratification du contrat par le fait d'invoquer les droits découlant de la garantie en raison des défauts de la chose vendue (consid. 1b).</w:t>
      </w:r>
    </w:p>
    <w:p>
      <w:r>
        <w:t>Regesto Imprescrittibilità dell'eccezione di dolo (art. 60 cpv. 3 CO); relazione tra le pretese fondate sulla garanzia per i difetti della cosa venduta e l'invalidazione del contratto per vizi della volontà. Termine per far valere i vizi della volontà in via d'eccezione (art. 31 cpv. 1 e art. 60 cpv. 3 CO) (consid. 1a). Ratifica del contratto per il fatto d'avere invocato i diritti legati alla garanzia per i difetti della cosa venduta (consid. 1b).</w:t>
      </w:r>
    </w:p>
    <w:p>
      <w:pPr>
        <w:pStyle w:val="Heading2"/>
      </w:pPr>
      <w:r>
        <w:t>Erwägungen</w:t>
      </w:r>
    </w:p>
    <w:p>
      <w:r>
        <w:rPr>
          <w:b/>
        </w:rPr>
        <w:t>E. 1</w:t>
      </w:r>
    </w:p>
    <w:p>
      <w:r>
        <w:t>Die Beklagte rügt zunächst, die Vorinstanz habe Art. 31 Abs. 1 OR zu Unrecht angewendet und dabei verkannt, dass sie die Täuschung einredeweise geltend mache. Ausserdem vertritt sie die Ansicht, die Vorinstanz habe ihr Schreiben vom 23. November 1994, welches der Klägerin innert Jahresfrist nach Entdeckung des Mangels zugestellt wurde, zu Unrecht nicht als Anfechtungserklärung genügen lassen. BGE 127 III 83 S. 85 a) Nach Art. 31 Abs. 1 OR gilt der Vertrag als genehmigt, wenn der durch Irrtum, Täuschung oder Furcht beeinflusste Teil dem andern binnen Jahresfrist weder eröffnet, dass er den Vertrag nicht halte, noch eine bereits erfolgte Leistung zurückfordert. Aus der Unverjährbarkeit der Einrede gegen die Erfüllung einer aus unerlaubter Handlung entstandenen Forderung gemäss Art. 60 Abs. 3 OR wird dagegen abgeleitet, dass der Getäuschte die Jahresfrist nicht einhalten muss, sofern er seine Leistung noch nicht erbracht hat ( BGE 106 II 346 E. 3a S. 349; BGE 84 II 621 E. 2b,c S. 625; BGE 66 II 158 E. 5 S. 160; BERTI, Basler Kommentar, N. 15 zu Art. 60 OR ; VON TUHR/PETER, Allgemeiner Teil des Schweizerischen Obligationenrechts, Bd. I, S. 342 insbesondere Fn. 56; BUCHER, Schweizerisches Obligationenrecht, Allgemeiner Teil, 2. Aufl., S. 223 insbesondere Fn. 108; SCHMIDLIN, Berner Kommentar, N. 135 zu Art. 31 OR ; BREHM, Berner Kommentar, N. 108 ff. zu Art. 60 OR ; ENGEL, Traité des obligations en droit suisse, 2. Aufl., S. 356; GAUCH/SCHLUEP/SCHMID/REY, Schweizerisches Obligationenrecht Allgemeiner Teil, Bd. I, 7. Aufl., N. 903). Die Vorinstanz hat offen gelassen, ob die Beklagte tatsächlich getäuscht worden ist. Sie hat den Vertrag als genehmigt erachtet, weil sich die Beklagte innert der Jahresfrist von Art. 31 Abs. 1 OR nicht auf den Willensmangel bzw. die absichtliche Täuschung berufen habe. Die Fiktion der Genehmigung eines vom Betroffenen noch nicht erfüllten Vertrages mit Ablauf eines Jahres setzt jedoch voraus, dass der Willensmangel nicht durch eine unerlaubte Handlung begründet worden ist. Die Rüge der Beklagten ist berechtigt, dass die Vorinstanz diesen Grundsatz verkannt hat, der sich sinngemäss aus Art. 60 Abs. 3 OR ergibt. Die Beklagte hat die Einrede der Unverbindlichkeit des Vertrages nicht gemäss Art. 31 Abs. 1 OR verwirkt. Es kann sich nur fragen, ob sie den Vertrag ausdrücklich oder sinngemäss durch ihr Verhalten genehmigt hat, wie die Klägerin in ihrer Antwort und die Vorinstanz in ihren Bemerkungen vertreten. b) Nach ständiger Rechtsprechung hat der Käufer die Wahl, ob er bei sachlich mangelhafter Erfüllung durch den Verkäufer gemäss Art. 197 ff. OR auf Gewährleistung klagen oder den Vertrag wegen eines Willensmangels im Sinne der Art. 23 ff. OR anfechten will ( BGE 114 II 131 E. 1a S. 134; BGE 109 II 319 E. 2 S. 322). Insbesondere ist die Anfechtung wegen absichtlicher Täuschung wahlweise neben der Sachgewährleistung zulässig (HONSELL, Basler Kommentar, N. 12 der Vorbemerkungen zu Art. 197-210 OR ). Dabei hat sich der Käufer aber bei seinem Entschluss für einen der ihm zur Verfügung BGE 127 III 83 S. 86 stehenden Rechtsbehelfe behaften zu lassen ( BGE 108 II 102 E. 2a S. 104). Entscheidet er sich insbesondere für die Gewährleistung, so genehmigt er gleichzeitig den Vertrag nach Art. 31 OR , da die Sachmängelregelung den Vertragsabschluss voraussetzt ( BGE 88 II 410 E. 2 S. 412; SCHMIDLIN, Berner Kommentar, N. 139 zu Art. 28 OR ). Die Beklagte hat mit der Klageantwort vom 12. Dezember 1995 beantragt, es sei der Kaufvertrag zwischen den Parteien betreffend ca. 11'000 Stück Damenkonfektion vom Dezember 1993 gemäss Art. 205 Abs. 1 OR zu wandeln und es sei die Klägerin widerklageweise zu verpflichten, ihr unter Vorbehalt der Nachklage den Betrag von Fr. 90'790.- zu bezahlen, eventualiter sei der Kaufpreis zu mindern. Die Beklagte, die anwaltlich vertreten war und sich damit der Rechtsfolgen ihres Begehrens bewusst sein musste, hat sich mit diesen Anträgen für den Rechtsbehelf der Sachgewährleistung entschieden. Sie hat damit den Vertrag genehmigt und ist darauf zu behaften. Die Vorinstanz hat im Ergebnis zutreffend die Berufung der Beklagten auf Willensmängel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