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55</w:t>
      </w:r>
    </w:p>
    <w:p>
      <w:r>
        <w:t>Bundesgericht (BGE), 2000-01-01, DE</w:t>
      </w:r>
    </w:p>
    <w:p>
      <w:r>
        <w:rPr>
          <w:b/>
        </w:rPr>
        <w:t xml:space="preserve">Quelle: </w:t>
      </w:r>
      <w:r>
        <w:t>https://mcp.opencaselaw.ch/entscheid/bge_BGE_127_III_55</w:t>
      </w:r>
    </w:p>
    <w:p>
      <w:r>
        <w:t>FR: ATF 127 III 55</w:t>
      </w:r>
    </w:p>
    <w:p>
      <w:r>
        <w:t>IT: DTF 127 III 55</w:t>
      </w:r>
    </w:p>
    <w:p>
      <w:pPr>
        <w:pStyle w:val="Heading2"/>
      </w:pPr>
      <w:r>
        <w:t>Regeste</w:t>
      </w:r>
    </w:p>
    <w:p>
      <w:r>
        <w:t>Regeste Beiratschaft gemäss Art. 28 ff. des Bundesgesetzes vom 4. Dezember 1947 über die Schuldbetreibung gegen Gemeinden und andere Körperschaften des kantonalen öffentlichen Rechts (SR 282.11). Rechtsmittelweg gegen Verfügungen des Beirates; Abgrenzung zwischen staatsrechtlicher Beschwerde und Schuldbetreibungs- und Konkursbeschwerde (E. 1b). Der Bundesgesetzgeber hat dem Beirat keine Befugnisse zu Eingriffen in die Gläubigerrechte verliehen. Begrenzte Eingriffsmöglichkeiten gestattet erst der Nachlassvertrag nach kantonalem Recht (E. 3-5).</w:t>
      </w:r>
    </w:p>
    <w:p>
      <w:r>
        <w:t>Regeste Gérance selon les art. 28 ss de la loi fédérale du 4 décembre 1947 réglant la poursuite pour dettes contre les communes et autres collectivités de droit public cantonal (RS 282. 11). Voie de droit contre les décisions du gérant; délimitation entre le recours de droit public et le recours de poursuite (consid. 1b). Le législateur n'a pas conféré au gérant le pouvoir de restreindre les droits des créanciers. Seules les règles sur le concordat de droit cantonal peuvent apporter des restrictions limitées aux droits des créanciers (consid. 3-5).</w:t>
      </w:r>
    </w:p>
    <w:p>
      <w:r>
        <w:t>Regesto Gerenza giusta gli art. 28 segg. della Legge federale del 4 dicembre 1947 sull'esecuzione per debiti contro i comuni e altri enti di diritto pubblico cantonale (RS 282.11). Rimedi di diritto contro le decisioni della gerenza; delimitazione tra il ricorso di diritto pubblico e il ricorso in materia di esecuzione e fallimento (consid. 1b). Il legislatore federale non ha conferito alla gerenza il potere di restringere i diritti dei creditori. Limitate restrizioni possono essere autorizzate solo sulla base del concordato di diritto cantonale (consid. 3-5).</w:t>
      </w:r>
    </w:p>
    <w:p>
      <w:pPr>
        <w:pStyle w:val="Heading2"/>
      </w:pPr>
      <w:r>
        <w:t>Erwägungen</w:t>
      </w:r>
    </w:p>
    <w:p>
      <w:r>
        <w:rPr>
          <w:b/>
        </w:rPr>
        <w:t>E. 1</w:t>
      </w:r>
    </w:p>
    <w:p>
      <w:r>
        <w:t>b) Die staatsrechtliche Beschwerde ist im Verhältnis zu anderen Bundesrechtsmitteln subsidiär ( Art. 84 Abs. 2 OG ). Wohl scheidet die Beschwerde an die Schuldbetreibungs- und Konkurskammer des Bundesgerichts gemäss Art. 19 Abs. 1 SchKG und Art. 78 ff. OG wegen Verletzung verfassungsmässiger Rechte aus ( BGE 122 III 34 E. 1 S. 35, mit weiteren Hinweisen). Wird jedoch - wie hier - die Willkürrüge erhoben und mit qualifiziert unrichtiger Anwendung von Bundesrecht begründet, steht insoweit eine Verletzung von Bundesrecht zur Diskussion, die mit der Beschwerde gemäss Art. 19 Abs. 1 SchKG vorzutragen ist, wenn diese erhoben werden kann ( BGE 107 III 11 E. 1 S. 12; POUDRET/SANDOZ-MONOD, Commentaire OJ, Bd. II, N. 2.3.2.1 und 2.3.5 zu Art. 81 OG ; AMONN/GASSER, Grundriss des Schuldbetreibungs- und Konkursrechts, 6. Aufl., 1997, § 6 Rz. 100; HEINZ PFLEGHARD, in: Geiser/Münch, Prozessieren vor Bundesgericht, 2. Aufl., 1998, Rz. 5.55). Es ist deshalb zu prüfen, ob die Beschwerde an die Schuldbetreibungs- und Konkurskammer des Bundesgerichts offen steht. Gemäss Art. 19 Abs. 1 SchKG kann grundsätzlich jeder Entscheid einer oberen kantonalen Aufsichtsbehörde an die bundesgerichtliche Schuldbetreibungs- und Konkurskammer weitergezogen werden ( BGE 122 III 34 E. 1 S. 35); ausgenommen sind Zwischenentscheide ( BGE 111 III 50 S. 51; PFLEGHARD, a.a.O., Rz. 5.18 f. und 5.26). Das SchGG enthält freilich eigene Rechtsmittelvorschriften, die jenen des SchKG vorgehen ( Art. 30 Abs. 2 SchKG , Art. 1 Abs. 1 SchGG ; JENNY, Kommentar zum SchKG, Bd. III, N. 14 zu Art. 1 SchGG ; GILLIÉRON, Commentaire de la LP, Bd. 1, N. 16 zu Art. 30 SchKG ). Für Anordnungen betreffend die Beiratschaft regeln die Art. 44 und 45 SchGG den Rechtsmittelweg. Art. 44 SchGG lässt i.V.m. Art. 4 Abs. 4 SchGG gegen Verfügungen der Beiratschaft die BGE 127 III 55 S. 58 Beschwerde an die obere kantonale Aufsichtsbehörde zu. Deren Entscheide können in den Fällen von Art. 45 SchGG beim Bundesgericht (Schuldbetreibungs- und Konkurskammer) angefochten werden. Wie sich aus dem Wortlaut der Vorschrift ergibt, hat die Aufzählung der beim Bundesgericht anfechtbaren Entscheide abschliessenden Charakter (ebenso: RUDOLF DIGGELMANN, Die Beiratschaft über Gemeinden nach dem Bundesgesetz vom 4. Dezember 1947, Diss. Zürich 1952, S. 81 f.; JENNY, a.a.O., N. 1 zu Art. 45 SchGG ; GILLIÉRON, a.a.O., N. 51 zu Art. 30 SchKG ; FRITZSCHE/WALDER, Schuldbetreibung und Konkurs, Bd. II, 3. Aufl., 1993, § 84 Rz. 63). Der hier interessierende Gegenstand (Abweisung einer Forderung) fällt nicht darunter. Mithin scheidet die SchKG-Beschwerde aus und ist die staatsrechtliche Beschwerde auch unter diesem Gesichtswinkel zulässig.</w:t>
      </w:r>
    </w:p>
    <w:p>
      <w:r>
        <w:rPr>
          <w:b/>
        </w:rPr>
        <w:t>E. 3</w:t>
      </w:r>
    </w:p>
    <w:p>
      <w:r>
        <w:t>a) Die Aufsichtsbehörde hat erwogen, gemäss Art. 39 Abs. 1 Satz 2 SchGG gingen die Kompetenzen der ordentlichen Verwaltungsorgane und ihrer Verwaltungsaufsichtsbehörden bezüglich der finanziellen Geschäftsführung auf die Beiratschaft über, soweit diese zuständig erklärt werde. Der Beiratschaft könnten somit nicht mehr und nicht andere Kompetenzen zustehen als den Gemeindebehörden. Über den Bestand einer Forderung gegen die Gemeinde oder ihre Anerkennung (wie im Kollokationsverfahren) könne die Gemeinde keine Verfügung erlassen. Sie könne privatrechtliche Forderungen Dritter nur bestreiten oder akzeptieren. Die Verfügungskompetenz stehe daher dem Beirat nicht zu, und sie sei ihm im Übrigen auch nicht übertragen worden. Der Beirat habe somit seine sachliche Zuständigkeit überschritten, und zwar dergestalt, dass die angefochtene Verfügung als nichtig zu betrachten sei. b) Die Munizipalgemeinde Leukerbad hält diese Argumentation für willkürlich. Die Beiratschaft ziele auf die Wahrung der Gläubigerrechte einerseits und auf die Sanierung der Gemeindefinanzen andererseits ab. Gemäss Art. 30 Abs. 1 SchGG müsse sie spätestens nach sechs Jahren aufgehoben werden. Es sei unmöglich, innert dieser Zeitspanne eine Sanierung ihrer Gemeindefinanzen durchzuführen. Ihre Schulden hätten sich per 20. Juli 1999 auf Fr. 223 Mio. belaufen. Bei einem verwertbaren Finanzvermögen von ca. Fr. 6 Mio. verblieben Fr. 217 Mio. als Restschuld. Die verfügbaren Mittel reichten nicht einmal zur Verzinsung aus. Das Institut der Beiratschaft müsse deshalb nach seinem Sinn und Zweck ausgelegt werden. Daraus ergebe sich zwingend, dass der Beirat über die Kompetenz verfügen müsse, vom Text des SchGG abzuweichen BGE 127 III 55 S. 59 und Forderungen abzuweisen, was er nicht nur gegenüber der Beschwerdegegnerin, sondern bezüglich angemeldeter Forderungen im Gesamtbetrag von Fr. 60 Mio. getan habe. Verneine man eine solche Kompetenz des Beirats, resultiere ein stossendes Ergebnis, das vom Gesetzgeber nicht gewollt sein könne. Der Beirat könne bei einschränkender Betrachtungsweise weder eine definitive Bilanz noch einen Finanzplan erstellen, die Munizipalgemeinde müsste zahlreiche Zivilprozesse (über Ansprüche im Gesamtbetrag von Fr. 60 Mio.) führen, und es wäre auch unmöglich, das Gebot der Gläubigergleichbehandlung zu beachten. Es liege ein Sonderfall vor, und das SchGG sei insofern lückenhaft. Die Kompetenzen des Beirats müssten deshalb weiter reichen als diejenigen der Gemeinde. Im Übrigen seien dem Beirat im Ernennungsentscheid auch weiter reichende Kompetenzen als im SchGG übertragen worden, die ihm nun wieder aberkannt würden.</w:t>
      </w:r>
    </w:p>
    <w:p>
      <w:r>
        <w:rPr>
          <w:b/>
        </w:rPr>
        <w:t>E. 4</w:t>
      </w:r>
    </w:p>
    <w:p>
      <w:r>
        <w:t>a) Anlass zur Ausarbeitung des SchGG war der Umstand, dass Mitte der dreissiger Jahre einige Gemeinden zufolge der Wirtschaftskrise notleidend geworden waren, die Zinsen und Amortisationsraten für ihre Obligationenanleihen nicht mehr bezahlen konnten und sich ihrer Verpflichtungen zu einem erheblichen Teil zu entledigen versuchten. Der Bundesrat befürchtete eine Erschütterung des Landeskredites, griff Ende 1936 mit einem Bundesratsbeschluss notrechtlich ein und leitete der Bundesversammlung Mitte 1939 einen Entwurf zur Überführung der befristeten Regelung in ein Bundesgesetz zu (BBl 1939 II 1 ff., insb. S. 2). Die Beratung des Gesetzesentwurfs verzögerte sich unter anderem wegen des Zweiten Weltkrieges. Am 27. Dezember 1944 legte der Bundesrat eine Nachtragsbotschaft mit neuem Gesetzesentwurf vor (BBl 1945 I 1 ff.; DIGGELMANN, a.a.O., S. 6). Bei unveränderter Zielsetzung wurden auch der Ausschluss der Betreibung auf Konkurs und die Instrumente der Gläubigergemeinschaft und der Beiratschaft beibehalten. Das Gläubigergemeinschaftsverfahren regelt das Vorgehen, wenn ein Gemeinwesen ausserstande ist, seinen Verpflichtungen aus Anleihensobligationen nachzukommen (vgl. Art. 13 ff. SchGG ); die Beiratschaft besteht in einer Form von Zwangsverwaltung in finanziellen Belangen (BBl 1945 I 10 ff.; vgl. Art. 28 ff. SchGG ). Für den Fall, dass die (ordentliche) Beiratschaft nicht zum Ziel führen sollte, wurden in der Nachtragsbotschaft unter der Marginalie "Nachlassvertrag" ausserordentliche Massnahmen vorgeschlagen. Danach sollten ausnahmsweise nicht pfandgesicherte Schuldverpflichtungen BGE 127 III 55 S. 60 um höchstens einen Drittel reduziert und der Zinsfuss für Kapitalforderungen während längstens fünf Jahren bis auf einen Drittel herabgesetzt werden können (Art. 27 Abs. 1 des zweiten Entwurfs; BBl 1945 I 29). Die Möglichkeit des Nachlassvertrags war bereits im ersten Entwurf vorgeschlagen worden (BBl 1939 II 18 ff. und 30; MOSER, a.a.O., S. 99 ff.), aber auf Kritik gestossen. Es wurde eingewendet, ein Gemeinwesen müsse seinen Verpflichtungen unter allen Umständen in vollem Masse nachkommen, zumal Obligationen von Städten und Gemeinden als mündelsichere Anlagen anerkannt seien; ein Eingriff in die Substanz dieser Gläubigerrechte würde den Kredit der Gemeinden erschüttern. Der Bundesrat hielt trotzdem am Instrument fest mit der Begründung, es seien Fälle denkbar, in denen eine Sanierung nur auf diesem Weg durchgeführt werden könne (BBl 1945 I 13). In der Folge wurden zwar bestimmte Eingriffe in die Rechte von Obligationären beschlossen (vgl. Art. 13 SchGG ). Das Instrument des Nachlassvertrages fand indessen im Gesetz keine weitergehende, insbesondere auf andere Schuldpflichten bezogene Aufnahme (vgl. Art. 2 Abs. 2 Satz 2 SchGG ). Art. 3 Abs. 1 SchGG räumt bloss den Kantonen die Befugnis ein, Vorschriften über das Nachlassvertragsrecht aufzustellen. Sie dürfen dabei freilich nicht über die in Art. 13 SchGG genannten Eingriffe in die Gläubigerrechte hinausgehen (Erstreckung der Amortisationsfrist, Stundung von Rückzahlungen und Zinsen während längstens fünf Jahren, Einräumung bestimmter Sicherheiten, Herabsetzung des Zinsfusses auf die Hälfte während der nächsten fünf Jahre und Nachlass verfallener Zinse um höchstens die Hälfte). Namentlich ein Kapitalverzicht ist somit ausgeschlossen ( Art. 3 Abs. 2 Satz 2 SchGG ; DIGGELMANN, a.a.O., S. 12; JENNY, a.a.O., N. 5 zu Art. 3 SchGG ). Die Beiratschaft geht einem Nachlassvertrag nach kantonalem Recht zudem in jedem Fall vor ( Art. 3 Abs. 2 Satz 1 SchGG ). b) Für die Beiratschaft bestimmt das SchGG, dass der Beirat zunächst ein Inventar aufzunehmen, eine Vermögensbilanz aufzustellen und einen Plan über die zur Sanierung in Aussicht genommenen Massnahmen auszuarbeiten hat (Finanzplan; Art. 38 Abs. 1 SchGG ). Er hat im Weiteren für die Einlösung der verfallenen Verpflichtungen im Rahmen des Finanzplanes zu sorgen, Steuerrückstände und andere ausstehende Forderungen einzutreiben, das Finanzvermögen zu verwerten sowie Verantwortlichkeits- und BGE 127 III 55 S. 61 andere Anfechtungsansprüche geltend zu machen ( Art. 34-36 SchGG ). Soweit es notwendig, zweckmässig und tragbar erscheint, hat er die Steuern und sonstigen Abgaben, Entgelte oder Vergütungen zu erhöhen (bzw. solche neu einzuführen), wobei die Zustimmung der Kantonsregierung und die Schranken des kantonalen und des Bundesrechts vorbehalten sind ( Art. 37 SchGG ; DIGGELMANN, a.a.O., S. 64 ff.; JENNY, a.a.O., N. 1 f. zu Art. 37 und N. 2 zu Art. 38 SchGG ). Kompetenzen können ihm aus den Bereichen der ordentlichen Verwaltungsorgane und ihrer Verwaltungsaufsichtsbehörden übertragen werden, allerdings beschränkt auf die finanzielle Geschäftsführung ( Art. 39 Abs. 1 SchGG ). Die Beiratschaft ist auf höchstens sechs Jahre beschränkt ( Art. 30 Abs. 1 SchGG ) und von Gesetzes wegen mit einer Stundung verbunden ( Art. 41 Abs. 1 SchGG ).</w:t>
      </w:r>
    </w:p>
    <w:p>
      <w:r>
        <w:rPr>
          <w:b/>
        </w:rPr>
        <w:t>E. 5</w:t>
      </w:r>
    </w:p>
    <w:p>
      <w:r>
        <w:t>a) Aus der Entstehungsgeschichte des SchGG wird deutlich, dass der Bundesgesetzgeber dem Beirat bewusst keine Befugnisse zu Eingriffen in die Gläubigerrechte wie den hier interessierenden verliehen hat. Er hat durchaus vorausgesehen, dass eine Sanierung des Gemeindehaushalts allein mit den Möglichkeiten der zeitlich beschränkten Zwangsverwaltung nicht in jedem Fall gelingen dürfte. Trotzdem hat er es vorgezogen, im Rahmen einer Beiratschaft auf weitergehende Eingriffe in die Gläubigerrechte zu verzichten. Das Gleiche ergibt sich aus dem Gesetzeswortlaut und der Systematik des Erlasses. Eine Aufhebung oder Herabsetzung von Kapitalschulden auf dem Verfügungsweg sieht das Gesetz weder für die Beiratschaft noch für die Gläubigergemeinschaft vor, auch dann nicht, wenn eine Schuld von der Gemeinde bestritten wird. Die Beiratschaft ist freilich - wenn keine Verpflichtungen aus Anleihensobligationen in Frage stehen - nicht das letzte Glied in der Stufenleiter der Massnahmen zur Bereinigung von kommunalen Überschuldungssituationen. Zeitigt sie keinen Erfolg, bleibt noch die Möglichkeit eines Nachlassvertrags nach kantonalem Recht. Erst im Rahmen eines solchen Nachlassvertrages können die Kantone Eingriffe in die Gläubigerrechte gestatten, allerdings höchstens im Umfang der in Art. 13 SchGG (für die Gläubigergemeinschaft) vorgesehenen. Dies wiederum zeigt auf, dass die mildere Massnahme der Beiratschaft nicht mit der Kompetenz zur Abweisung von Forderungen durch Verfügung verbunden ist. b) Die Bundesregelung mit ihren beschränkten Eingriffsmöglichkeiten steht im Zeichen der Sorge um die Erhaltung des allgemeinen Gemeindekredits (BBl 1939 II 2, 1945 I 2; DIGGELMANN, BGE 127 III 55 S. 62 a.a.O., S. 1 und 7; MOSER, a.a.O., S. 47 und 82; JENNY, a.a.O., N. 11 zu Art. 1 SchGG ; FRITZSCHE-/WALDER, a.a.O., § 84 Rz. 5, 67 und 69). Die Sanierung des Gemeindehaushalts ist zwar auch ein Ziel des SchGG und der darin vorgesehenen Beiratschaft, aber nicht das alleinige und vorrangige; ebenso wichtig ist im Interesse des Oberziels die gleichmässige Befriedigung aller Gläubiger (DIGGELMANN, a.a.O., S. 20 und 64; JENNY, a.a.O., N. 2 zu Art. 34 SchGG ; FRITZSCHE/WALDER, a.a.O., § 84 Rz. 54 und 64). Der Gesetzgeber hat - wie erwähnt - in Betracht gezogen, dass die Beiratschaft nicht in jedem Fall ausreicht, um eine Gesundung der Gemeindefinanzen herbeizuführen (BBl 1939 II 19, 1945 13). Er hat dies in Kauf genommen und mit Art. 3 SchGG - anstelle der vom Bundesrat vorgeschlagenen ausserordentlichen Vorkehren - auch eine Möglichkeit für weiterführende Massnahmen eröffnet (DIGGELMANN, a.a.O., S. 20; FRITZSCHE/WALDER, a.a.O., § 84 Rz. 68). Die Argumentation der Beschwerdeführerin, eine Auslegung der Regelung über die Beiratschaft nach ihrem Sinn und Zweck ergebe, dass dem Beirat die beanspruchte Kompetenz zustehen müsse, weil sonst eine Gesundung der Gemeindefinanzen nicht zu erreichen sei, geht deshalb fehl. Ebenso wenig kann gesagt werden, die offenkundige Unmöglichkeit, mit der befristeten Beiratschaft allein das Sanierungsziel zu erreichen, führe zu einem stossenden Ergebnis und lasse das SchGG als lückenhaft erscheinen. An die Möglichkeit einer derartigen Situation hat der Gesetzgeber vielmehr gedacht, mit Art. 3 SchGG ein weiteres Instrument zur Verfügung gestellt und im Übrigen auf zusätzliche Entlastungsmassnahmen zu Gunsten der Gemeinden bewusst verzichtet (vgl. E. 5a hiervor). Dabei hatte er auch Beispiele von Gemeinden mit hoher Verschuldung vor Augen, erforderte doch schon zu Beginn der Achtzigerjahre des 19. Jahrhunderts die sog. Nationalbahn-Misere ausserordentliche Massnahmen und wurde in der Folge ein erster Gesetzesentwurf ausgearbeitet (BBl 1939 II 3; FRITZSCHE/WALDER, a.a.O., § 84 Rz. 1 ff.; JENNY, a.a.O., N. 1 zu Art. 1 SchGG ; DIGGELMANN, a.a.O., S. 5). Der Hinweis der Beschwerdeführerin, wonach ihre Verschuldung "alle Grenzen sprenge", kann an der dargelegten Betrachtungsweise daher nichts ändern, selbst wenn die finanzielle Situation, in die sie sich begeben hat, für die jüngere Zeit beispiellos sein mag. Die voraussichtliche Unmöglichkeit, mit der Beiratschaft eine Entschuldung herbeizuführen, lässt somit nicht auf willkürliche Gesetzesauslegung schliessen, sondern macht bloss deutlich, dass es wohl mit dieser zeitlich befristeten Massnahme nicht sein Bewenden haben kann. BGE 127 III 55 S. 63 c) Gemäss Art. 2 Abs. 1 SchGG ist die Schuldbetreibung gegen Gemeinden auf die Wege der Pfändung und der Pfandverwertung beschränkt; die Betreibung auf Konkurs ist ausgeschlossen ( Art. 2 Abs. 2 SchGG ). Damit sind auch die Vorschriften über das Konkursverfahren nicht anwendbar. Es ist deshalb keineswegs unhaltbar, dass die Aufsichtsbehörde die analoge Anwendung von Art. 245 SchKG (Entscheidungsbefugnis der Konkursverwaltung über die Anerkennung der angemeldeten Forderungen) ausgeschlossen hat. d) Die Einwände, es könnten keine definitive Bilanz und kein definitiver Finanzplan erstellt werden, sind unbehelflich. Es liegt in der Natur der Sache, dass solche Grundlagen Änderungen erfahren können. Auch die beanspruchte Verfügungskompetenz könnte im Übrigen nicht gewährleisten, dass keine Änderungen nötig werden. e) Ebenfalls unbeachtlich ist das Vorbringen, dem Gebot der Gläubigergleichbehandlung könne nicht nachgelebt werden. Es bleibt dem Beirat unbenommen, bestrittene Ansprüche gerichtlich klären zu lassen und die Gläubiger unter diesem Vorbehalt gleich zu behandeln. Weshalb dies nicht möglich sein sollte, ist nicht einzusehen. Es kann auch nicht als unzumutbar für die Beschwerdeführerin bezeichnet werden, Rechtsstreite über bestrittene Forderungen vor dem Richter auszutragen. Dies umso weniger, als auch die Abweisung von Forderungen auf dem Verfügungsweg regelmässig zu einem Anfechtungsstreitverfahren führen dürfte. f) Inwiefern die Aufsichtsbehörde die Kompetenzen des Beirats im Ernennungsentscheid vom 20. Juli 1999 weiter umschrieben und mit dem angefochtenen Entscheid wieder zurückgenommen haben sollte, ist nicht ersichtlich. Der Entscheid vom 20. Juli 1999 hält in Ziff. 1 unmissverständlich fest, dass die Beschwerdeführerin im Sinne der Art. 28 ff. SchGG unter Beiratschaft gestellt werde, und verweist in Ziff. 2 für die Zuständigkeit und Aufgaben des Beirats auf Art. 39 Abs. 1 und die Art. 34-38 SchGG . Der Auftrag gemäss E. 5a des Entscheids vom 20. Juli 1999, unter anderem auch die von Dritten gewährten Darlehen auf ihre Rechtmässigkeit zu überprüfen, verschafft dem Beirat noch nicht die Kompetenz, im Sinne der umstrittenen Anordnung zu verfügen. Die Folgerung der Aufsichtsbehörde ist nicht willkürlich, wonach diese Umschreibung nur so verstanden werden kann, dass der Beirat im Rahmen seiner Tätigkeit als Zwangsverwalter bezüglich der verschiedenen Forderungen die notwendigen tatsächlichen und rechtlichen Abklärungen durchzuführen und deren Ergebnis in der Bilanz und im Finanzplan zum Ausdruck zu bringen hat. Bei dieser Sachlage braucht nicht geprüft BGE 127 III 55 S. 64 zu werden, inwiefern ein zu weit umschriebener Auftrag an den Beirat überhaupt Verfügungen rechtfertigen könnte, die über den gesetzlich umschriebenen Rahmen hinausgehen. g) Somit ergibt sich, dass die Aufsichtsbehörde keineswegs in Willkür verfallen ist ( BGE 125 II 129 E. 5b S. 134), wenn sie die spezielle Verfügung Nr. 30 als bundesrechtswidrig beurteilt und aufgehoben hat. Ihr Entscheid würde vielmehr höchstwahrscheinlich auch einer freien Überprüfung standhalten.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