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529</w:t>
      </w:r>
    </w:p>
    <w:p>
      <w:r>
        <w:t>Bundesgericht (BGE), 2001-01-01, DE</w:t>
      </w:r>
    </w:p>
    <w:p>
      <w:r>
        <w:rPr>
          <w:b/>
        </w:rPr>
        <w:t xml:space="preserve">Quelle: </w:t>
      </w:r>
      <w:r>
        <w:t>https://mcp.opencaselaw.ch/entscheid/bge_BGE_127_III_529</w:t>
      </w:r>
    </w:p>
    <w:p>
      <w:r>
        <w:t>FR: ATF 127 III 529</w:t>
      </w:r>
    </w:p>
    <w:p>
      <w:r>
        <w:t>IT: DTF 127 III 529</w:t>
      </w:r>
    </w:p>
    <w:p>
      <w:pPr>
        <w:pStyle w:val="Heading2"/>
      </w:pPr>
      <w:r>
        <w:t>Regeste</w:t>
      </w:r>
    </w:p>
    <w:p>
      <w:r>
        <w:t>Regeste Ehevertrag; Formungültigkeit der erbrechtlichen Anordnungen; richterliche Ergänzung des Vertrages. Die gesetzlichen Formvorschriften beziehen sich auf die Regelung des Vertragsinhaltes durch die Vertragsparteien und nicht auf die vertragsergänzende Tätigkeit des Richters. Dieser ist auch bei formbedürftigen Verträgen befugt, "konstruktiv" bzw. "modifizierend" einzugreifen, wenn dies als notwendig und sinnvoll erscheint. Massgeblichkeit des hypothetischen Willens der Vertragsparteien (E. 3).</w:t>
      </w:r>
    </w:p>
    <w:p>
      <w:r>
        <w:t>Regeste Contrat de mariage; vice de forme des dispositions successorales; complètement du contrat par le juge. Les prescriptions de forme prévues par la loi se rapportent à la réglementation du contenu du contrat par les parties et non à l'activité du juge en complètement du contrat. Celui-ci peut intervenir, même dans le cas de contrats soumis à l'exigence d'une forme, de manière "constructive", respectivement "modificatrice", lorsque cela paraît nécessaire et approprié. Caractère déterminant de la volonté hypothétique des parties au contrat (consid. 3).</w:t>
      </w:r>
    </w:p>
    <w:p>
      <w:r>
        <w:t>Regesto Convenzione matrimoniale; vizi di forma delle disposizioni successorie; completazione giudiziaria della convenzione. Le disposizioni legali concernenti la forma si riferiscono alla regolamentazione del contenuto contrattuale effettuata dai contraenti e non alla completazione dello stesso da parte del giudice. Quest'ultimo è autorizzato a intervenire, anche nell'ambito di contratti soggetti a requisiti di forma specifici, in modo "costruttivo" risp. "modificatore" se ciò appare necessario e sensato. Rilevanza della volontà ipotetica delle parti (consid. 3).</w:t>
      </w:r>
    </w:p>
    <w:p>
      <w:pPr>
        <w:pStyle w:val="Heading2"/>
      </w:pPr>
      <w:r>
        <w:t>Erwägungen</w:t>
      </w:r>
    </w:p>
    <w:p>
      <w:r>
        <w:rPr>
          <w:b/>
        </w:rPr>
        <w:t>E. 3</w:t>
      </w:r>
    </w:p>
    <w:p>
      <w:r>
        <w:t>a) Gerügt wird in der Berufung einzig, die Rechtsauffassung der Vorinstanz sei unzutreffend, wonach die Eheleute A.R. und B.R. im Wissen um die Ungültigkeit der erbrechtlichen Vereinbarung die je eigenen Liegenschaften nicht zum Gesamtgut erhoben hätten; eine Ergänzung des Vertrages gestützt auf den hypothetischen Parteiwillen dergestalt, dass bezüglich der Liegenschaften kein Gesamtgut begründet worden wäre, hätte nicht vorgenommen werden dürfen. Dabei machen die Beklagten gestützt auf zwei Literaturstellen im Berner Kommentar (KRAMER, N. 260 zu Art. 18 OR , und MERZ, N. 163/164 zu Art. 2 ZGB ) geltend, die von der Vorinstanz vorgenommene Ergänzung des Ehevertrages (Herausnahme der fraglichen Liegenschaften aus dem Gesamtgut) hätte angesichts der Formbedürftigkeit des Ehevertrages eines klaren Anhaltspunktes im formgerecht vereinbarten Teil des Ehevertrages bedurft, was nicht der Fall sei. Es liege demnach eine schlichte Teilnichtigkeit vor und keine sogenannte modifizierte, wie die Vorinstanz angenommen habe. b) Der hypothetische Wille als solcher wird von den Beklagten nicht infrage gestellt, keinesfalls aber genügend ( Art. 55 Abs. 1 lit. b und c OG ; zu den Begründungsanforderungen: BGE 116 II 745 E. 3 S. 748/749 und zur Kognition des Bundesgerichts hinsichtlich der Ermittlung des hypothetischen Parteiwillens: BGE 120 II 35 E. 4b S. 41). c) In der Literatur ist umstritten, ob die richterliche Ergänzung eines gültigen formbedürftigen Vertrages, um zulässig zu sein, ihre Grundlage in entsprechenden Anhaltspunkten der vorhandenen, formgerechten Parteivereinbarungen haben müsse (für die Notwendigkeit solcher Anhaltspunkte: MERZ, Berner Kommentar, N. 163/164 zu Art. 2 ZGB , und besonders KRAMER, Berner Kommentar, N. 260 zu Art. 18 OR ; ferner WIEGAND, Basler Kommentar, N. 88 zu Art. 18 OR ; vgl. auch WEIMAR, Berner Kommentar, Einleitung zum 14. Titel "Die Verfügungen von Todes wegen", N. 72 und besonders N. 78-82; gegenteilig: JÄGGI/GAUCH, Zürcher Kommentar, N. 546 zu Art. 18 OR ; DESCHENAUX, Schweizerisches Privatrecht, Bd. II, S. 173 und besonders GAUCH/SCHLUEP/SCHMID/REY, Schweiz. Obligationenrecht, Allgemeiner Teil, 7. Aufl., Zürich 1998, N. 1278/1279; vgl. auch RASELLI, Erklärter oder wirklicher Wille des Erblassers?, in: AJP 1999 S. 1265 ff., und DRUEY, Grundriss des Erbrechts, 4. Aufl., Bern 1997, § 12 N. 16, BGE 127 III 529 S. 532 S. 148, sowie BREITSCHMID, Erbrecht, in: Die Rechtsentwicklung an der Schwelle zum 21. Jahrhundert [Hrsg. Gauch/Schmid, Zürich 2001], S. 129/130). Dabei wird von diesen Autoren nicht speziell auf Teilnichtigkeit ( Art. 20 Abs. 2 OR ) Bezug genommen, obwohl die erwähnte Streitfrage in diesem Zusammenhang einen besonderen Anwendungsfall hat, worauf die Beklagten an sich zu Recht hinweisen. Die ersterwähnte Meinung wird wohl eine "modifizierte" Teilnichtigkeit (vgl. zu dieser allgemein namentlich GAUCH/SCHLUEP/SCHMID/REY, a.a.O., N. 703-705) bei formbedürftigen Verträgen im Falle fehlender Anhaltspunkte im Sinne des Gesagten ausschliessen und nur eine "einfache" Teilnichtigkeit zulassen. Während sich GAUCH/SCHLUEP/SCHMID/REY (a.a.O., N. 1278/1279) vor allem darauf berufen, dass sich die gesetzlichen Formvorschriften auf die Regelung des Vertragsinhaltes durch die Vertragsparteien bezögen und nicht auf die vertragsergänzende Tätigkeit des Richters, weist KRAMER (a.a.O., N. 260 zu Art. 18 OR ) auf den Formzweck (etwa Übereilungsschutz oder Gewährleistung der Transparenz der Vertragsbedingungen für die Öffentlichkeit) hin. Die Meinung von GAUCH/SCHLUEP/SCHMID/REY erscheint als die überzeugendere. Auch ist nicht einzusehen, warum es dem Richter gerade bei der Beurteilung formbedürftiger Verträge, im Unterschied zu allen anderen Verträgen, verwehrt sein sollte, "konstruktiv" bzw. "modifizierend" einzugreifen, wenn dies als notwendig und sinnvoll erscheint, zumal auch die blosse Auslegung formbedürftiger Verträge nach den gleichen Grundsätzen zu erfolgen hat wie diejenige formfreier ( BGE 122 III 361 E. 4 S. 366; RASELLI, a.a.O., S. 1264). Im Übrigen zeigt gerade der vorliegende Fall, dass die aus dem Formzweck abgeleiteten Argumente von KRAMER nicht stichhaltig sind: Es geht bei der vorliegenden richterlichen Vertragsergänzung nicht etwa um (hypothetische) zusätzliche vertragliche Verpflichtungen der Parteien, sondern gegenteils um die Herausnahme bestimmter Grundstücke aus den gegenseitigen vertraglichen Verpflichtungen (Einschränkungen des Vertrages), weshalb die Frage des Übereilungsschutzes a priori nicht aktuell ist; ebenso spielt vorliegend die Transparenz der Vertragsbedingungen für die Öffentlichkeit überhaupt keine Rolle, da die Vertragsparteien im vorliegenden Fall ausdrücklich auf jede Kundbarmachung ihres Vertrages gegenüber Dritten verzichtet haben. Die Massgeblichkeit des hypothetischen Willens der Eheleute A.R. und B.R. (Herausnahme der Liegenschaften des Ehemannes aus dem Gesamtgut) gemäss vorinstanzlichem Urteil ist mithin BGE 127 III 529 S. 533 unter dem geltend gemachten Gesichtspunkt der Form nicht zu beanstanden. Das muss bei Verfügungen von Todes wegen jedenfalls für Erbverträge gelten, die auch bezüglich Auslegung den Verträgen unter Lebenden und nicht den Testamenten gleichgestellt werden (vgl. BGE 99 II 382 E. 4a S. 385 ff. und hiezu auch RIEMER, in: recht 3/94 S. 125). Ob dagegen auch bei Testamenten nötigenfalls auf die Andeutungsregel verzichtet und "konstruktiv" bzw. "modifizierend" eingegriffen werden darf, ist vorliegend nicht zu entscheiden. d) Unter diesen Umständen ist die Berufung abzuweisen und das vorinstanzliche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