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429</w:t>
      </w:r>
    </w:p>
    <w:p>
      <w:r>
        <w:t>Bundesgericht (BGE), 2001-01-01, FR</w:t>
      </w:r>
    </w:p>
    <w:p>
      <w:r>
        <w:rPr>
          <w:b/>
        </w:rPr>
        <w:t xml:space="preserve">Quelle: </w:t>
      </w:r>
      <w:r>
        <w:t>https://mcp.opencaselaw.ch/entscheid/bge_BGE_127_III_429</w:t>
      </w:r>
    </w:p>
    <w:p>
      <w:r>
        <w:t>FR: ATF 127 III 429</w:t>
      </w:r>
    </w:p>
    <w:p>
      <w:r>
        <w:t>IT: DTF 127 III 429</w:t>
      </w:r>
    </w:p>
    <w:p>
      <w:pPr>
        <w:pStyle w:val="Heading2"/>
      </w:pPr>
      <w:r>
        <w:t>Regeste</w:t>
      </w:r>
    </w:p>
    <w:p>
      <w:r>
        <w:t>Regeste Internationale Schiedsgerichtsbarkeit; Beschwerdelegitimation (Art. 85 lit. c und 88 OG). Zulässigkeit der staatsrechtlichen Beschwerde gegen einen Entscheid des Schiedsgerichts für Sport betreffend eine Disziplinarmassnahme, die von der Berufungsinstanz der UEFA gegenüber einem Ausland wohnhaften professionellen Fussballspieler ausgesprochen worden ist (E. 1a). Voraussetzungen des aktuellen juristischen Interesses an der Beschwerde (E. 1b).</w:t>
      </w:r>
    </w:p>
    <w:p>
      <w:r>
        <w:t>Regeste Arbitrage international; qualité pour former un recours de droit public (art. 85 let. c et 88 OJ). Recevabilité du recours de droit public visant une sentence rendue par le Tribunal Arbitral du Sport relativement à une sanction disciplinaire prononcée par l'Instance d'appel de l'UEFA à l'encontre d'un joueur de football professionnel domicilié à l'étranger (consid. 1a). Exigence d'un intérêt pratique actuel à recourir (consid. 1b).</w:t>
      </w:r>
    </w:p>
    <w:p>
      <w:r>
        <w:t>Regesto Arbitrato internazionale; legittimazione a interporre un ricorso di diritto pubblico (art. 85 lett. c e 88 OG). Ammissibilità del ricorso di diritto pubblico interposto contro una sentenza resa dal Tribunale Arbitrale dello Sport, concernente una sanzione disciplinare pronunciata dall'istanza d'appello dell'UEFA nei confronti di un giocatore di calcio professionista domiciliato all'estero (consid. 1a). Necessità di un interesse pratico attuale per ricorrere (consid. 1b).</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BGE 127 III 429 S. 431 Comme le siège du Tribunal Arbitral du Sport se trouve en Suisse et que l'une des parties au moins (en l'occurrence, le recourant)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Comme l'une des parties (l'UEFA) a son siège en Suisse, le recours contre la sentence du Tribunal Arbitral du Sport ne pouvait pas être exclu conventionnellement ( art. 192 LDIP ). Le recours ne peut être formé que pour l'un des motifs énumérés de manière exhaustive à l' art. 190 al. 2 LDIP ( ATF 119 II 380 consid. 3c p. 383). La sentence attaquée étant une décision finale, le recours est ouvert pour tous les motifs prévus par l' art. 190 al. 2 LDIP ( art. 190 al. 3 LDIP a contrario). b) Ayant ainsi constaté que le recours est ouvert, le Tribunal fédéral doit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 art. 191 al. 1 2 ème phrase LDIP). Le recours est dirigé contre une décision individuelle qui concerne personnellement le recourant (cf. art. 88 OJ ). La jurisprudence a cependant déduit de l' art. 88 OJ l'exigence d'un intérêt pratique actuel ( ATF 127 III 41 consid. 2b et les arrêts cités). L'existence d'un intérêt à recourir est d'ailleurs requise pour l'exercice de toute voie de droit ( ATF 126 III 198 consid. 2b p. 201; ATF 120 II 5 consid. 2a). En l'espèce, le recourant a été suspendu jusqu'au 31 décembre 2000, de sorte que cette mesure a déjà déployé ses effets, étant rappelé que le recours de droit public n'a pas d'effet suspensif et qu'aucune mesure provisionnelle n'a été sollicitée ni accordée (cf. art. 94 OJ ). Le recourant n'établit pas qu'il aurait été effectivement empêché de participer à un match organisé par l'UEFA pendant la période de suspension. On ne parvient donc pas à discerner quel pourrait être encore l'intérêt pratique du recours. BGE 127 III 429 S. 432 Le Tribunal fédéral renonce exceptionnellement à l'exigence d'un intérêt pratique actuel lorsque le recourant soulève une question de principe susceptible de se reproduire dans les mêmes termes, sans que le Tribunal fédéral ne soit jamais en mesure de statuer en temps utile ( ATF 125 I 394 consid. 4b p. 397; ATF 124 I 231 consid. 1b; ATF 123 II 285 consid. 4c p. 287; ATF 121 I 42 consid. 3, 279 consid. 1). Le recourant ne soulève cependant que des griefs étroitement liés au déroulement des faits, de sorte qu'il n'y a pas lieu de renoncer à l'exigence d'un intérêt pratique actuel. Le recours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