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396</w:t>
      </w:r>
    </w:p>
    <w:p>
      <w:r>
        <w:rPr>
          <w:i/>
        </w:rPr>
        <w:t>Bundesgericht (BGE)</w:t>
      </w:r>
      <w:r>
        <w:rPr>
          <w:i/>
        </w:rPr>
        <w:t xml:space="preserve">  ·  2001-01-01</w:t>
      </w:r>
      <w:r>
        <w:rPr>
          <w:i/>
        </w:rPr>
        <w:t xml:space="preserve">  ·  DE</w:t>
      </w:r>
    </w:p>
    <w:p>
      <w:r>
        <w:rPr>
          <w:b/>
        </w:rPr>
        <w:t xml:space="preserve">Source: </w:t>
      </w:r>
      <w:r>
        <w:t>https://mcp.opencaselaw.ch/entscheid/bge_BGE_127_III_396</w:t>
      </w:r>
    </w:p>
    <w:p>
      <w:r>
        <w:t>FR: ATF 127 III 396 · IT: DTF 127 III 396</w:t>
      </w:r>
    </w:p>
    <w:p>
      <w:pPr>
        <w:pStyle w:val="Heading2"/>
      </w:pPr>
      <w:r>
        <w:t>Regeste</w:t>
      </w:r>
    </w:p>
    <w:p>
      <w:r>
        <w:t>Regeste Auskunftsanspruch der gemeinsamen Nachkommen gegen den überlebenden Ehegatten bezüglich lebzeitiger Zuwendungen des Erblassers, die aus dessen Errungenschaft stammen (Art. 610 Abs. 2 ZGB). Streitwerterfordernis (Art. 46 OG) bei umstrittenem Auskunftsbegehren (E. 1b/cc). Unterbleibt eine güterrechtliche Hinzurechnung (Art. 208 Abs. 1 Ziff. 1 ZGB), sind Zuwendungen, die der Erblasser zu seinen Lebzeiten getätigt hat, im Rahmen der erbrechtlichen Hinzurechnung in vollem Umfang zu berücksichtigen (E. 2). Art. 610 Abs. 2 ZGB verpflichtet die Erben, sich gegenseitig alles mitzuteilen, was bei einer objektiven Betrachtung möglicherweise geeignet erscheint, die Teilung in irgendeiner Weise zu beeinflussen. Dazu gehören ungeachtet der güterrechtlichen Verhältnisse auch lebzeitig vorgenommene Zuwendungen des Erblassers (E. 3 und 4a).</w:t>
      </w:r>
    </w:p>
    <w:p>
      <w:r>
        <w:t>Regeste Droit des descendants communs d'obtenir du conjoint survivant les renseignements relatifs aux libéralités entre vifs que le testateur a opérées au moyen de ses acquêts (art. 610 al. 2 CC). Exigence de la valeur litigieuse (art. 46 OJ) en cas de contestation de la demande de renseignements (consid. 1b/cc). En l'absence de réunion matrimoniale (art. 208 al. 1 ch. 1 CC), les libéralités que le testateur a faites de son vivant doivent entièrement être prises en considération dans le cadre du rapport successoral (consid. 2). L'art. 610 al. 2 CC oblige les héritiers à se communiquer tout ce qui pourrait paraître objectivement propre à influencer d'une façon ou d'une autre le partage. Ainsi en va-t-il, sans égard aux relations matrimoniales, des libéralités entre vifs que le testateur a faites (consid. 3 et 4a).</w:t>
      </w:r>
    </w:p>
    <w:p>
      <w:r>
        <w:t>Regesto Diritto dei discendenti comuni a ottenere informazioni dal coniuge superstite per quanto riguarda liberalità effettuate tra vivi dal defunto e provenienti dai suoi acquisti (art. 610 cpv. 2 CC). Esigenza del valore di lite (art. 46 OG), qualora la richiesta d'informazioni è controversa (consid. 1b/cc). In assenza di una reintegrazione fondata sul diritto matrimoniale (art. 208 cpv. 1 n. 1 CC), le liberalità effettuate dal defunto quand'era ancora in vita devono essere interamente prese in considerazione nel computo della sostanza fondato sul diritto successorio (consid. 2). L'art. 610 cpv. 2 CC obbliga gli eredi a comunicarsi vicendevolmente tutto quello che da un punto di vista oggettivo può apparire idoneo a influenzare in un qualsiasi modo la divisione. Fra ciò si annoverano, indipendentemente dal regime dei beni fra i coniugi, le liberalità effettuate in vita dal defunto (consid. 3 e 4a).</w:t>
      </w:r>
    </w:p>
    <w:p>
      <w:pPr>
        <w:pStyle w:val="Heading2"/>
      </w:pPr>
      <w:r>
        <w:t>Erwägungen</w:t>
      </w:r>
    </w:p>
    <w:p>
      <w:r>
        <w:rPr>
          <w:b/>
        </w:rPr>
        <w:t>E. 1</w:t>
      </w:r>
    </w:p>
    <w:p>
      <w:r>
        <w:t>b) cc) Beim Erbteilungsstreit handelt es sich um eine vermögensrechtliche Streitigkeit im Sinne von Art. 46 OG . Nach der Rechtsprechung bildet das gesamte Teilungsvermögen den Streitwert, wenn der Teilungsanspruch an sich streitig ist ( BGE 86 II 451 E. 2 S. 455). Betrifft die Streitfrage dagegen nur den Anteil eines am Gesamtnachlass Berechtigten, stellt lediglich dessen im Streit stehendes Betreffnis den Streitwert dar ( BGE 65 II 89 S. 90; BGE 78 II 181 S. 182, 286 S. 287). Streitig ist im vorliegenden Fall nicht der Teilungsanspruch an sich, sondern letztlich die Frage, wie gross der Nachlassanteil bzw. Pflichtteil der Beklagten 1 und 5 zu bemessen ist, wenn die durch ihr Auskunftsbegehren erhofften Erkenntnisse über Stand und Entwicklung des erblasserischen Vermögens berücksichtigt werden. Die Festsetzung ihres Pflichtteiles setzt demgemäss voraus, vorfrageweise ihr Auskunftsgesuch zu prüfen, das möglicherweise Zuwendungen zutage fördern wird, die der Erblasser zu seinen Lebzeiten getätigt hat und die der Ausgleichung oder Herabsetzung unterliegen ( Art. 626 und Art. 527 ZGB ). Da sowohl ausgleichungspflichtige wie auch herabsetzbare Zuwendungen zum Nachlassvermögen hinzuzurechnen sind ( BGE 45 II 7 E. 2 S. 13; BGE 76 II 188 E. 2 S. 192; Art. 475 ZGB ), ist nicht auszuschliessen, dass der Pflichtteil der Beklagten 1 und 5 letzten Endes bedeutend höher als im jetzigen Zeitpunkt ausfallen wird. Daran vermag auch die ehevertraglich stipulierte Zuweisung der gesamten Errungenschaft an die Klägerin nichts zu ändern (vgl. E. 2b). Würde von den Berufungsklägern verlangt, bereits bei der Klageanhebung zu wissen, wie hoch der effektive Streitwert zu beziffern ist, könnte je nach Umständen auf eine mit einem Auskunftsbegehren verbundene Teilungsklage nicht eingetreten werden, obschon ihre tatsächlichen Grundlagen mit dem Auskunftsgesuch erst ermittelt werden sollen. So genügt es etwa auch zur Geltendmachung einer Herabsetzungsklage, dass der Erbe die grundsätzliche Tatsache der Pflichtteilsverletzung kennt; nicht vorausgesetzt ist dagegen die Kenntnis vom genauen Ausmass ( BGE 121 III 249 E. 2b S. 250 f. mit Hinweisen). Das Streitwerterfordernis gemäss Art. 46 in Verbindung mit Art. 47 Abs. 1 OG steht folglich dem Eintreten auf die Berufung nicht entgegen.</w:t>
      </w:r>
    </w:p>
    <w:p>
      <w:r>
        <w:rPr>
          <w:b/>
        </w:rPr>
        <w:t>E. 2</w:t>
      </w:r>
    </w:p>
    <w:p>
      <w:r>
        <w:t>Mit ihrem Auskunftsbegehren verlangen die Beklagten 1 und 5, dass die Klägerin ungeachtet der güterrechtlichen Verhältnisse BGE 127 III 396 S. 399 über das gesamte vom Erblasser empfangene Vermögen Aufschluss erteile, um hierdurch gegebenenfalls Kenntnis von ausgleichungspflichtigen oder herabsetzbaren Zuwendungen zu erlangen. Die Vorinstanzen haben dieses Auskunftsgesuch abgewiesen, weil sich nach ihrer Auffassung der Auskunftsanspruch gemäss Art. 610 Abs. 2 ZGB nur auf den Nachlass und damit das erblasserische Vermögen nach Vollzug der güterrechtlichen Auseinandersetzung bezieht. Das Obergericht hat ausserdem erwogen, der Klägerin stehe gemäss dem Ehevertrag die gesamte Errungenschaft zu, die wiederum aus dem gesamten während der Ehe erwirtschafteten Vermögen gebildet werde. Die Beklagten 1 und 5 seien aber in keiner Weise an der Errungenschaft berechtigt, weshalb ihnen ein rechtsgenügendes Interesse abgehe, hierüber Auskünfte zu erhalten. Der überlebende Ehegatte sei gegenüber den gemeinsamen Kindern nach Art. 216 ZGB insoweit privilegiert, als die ihn begünstigende Vorschlagszuweisung sich über deren Pflichtteilsansprüche hinwegsetzen könne. Dem halten die Beklagten 1 und 5 dagegen, es müsse nach Massgabe von Art. 610 Abs. 2 ZGB ergründet werden, was dem Nachlass hinzuzurechnen sei. Auch die Klägerin sei als Ehegattin Erbin ihres verstorbenen Mannes und in dieser Eigenschaft auskunftspflichtig. Es sei unerheblich, dass die Grösse des Eigengutes feststehe; dies besage nichts über mögliche ausgleichungspflichtige oder herabsetzbare Zuwendungen, die der Informationspflicht unterstünden. a) Die Durchführung der Nachlassteilung schliesst gedanklich an die Feststellung der Teilungsmasse an. Diese setzt sich zusammen aus dem Saldo der güterrechtlichen Auseinandersetzung, der im vorliegenden Fall dem Eigengut entspricht. Zur Ermittlung der Pflichtteile sind dem Nachlass die vom Erblasser zu dessen Lebzeiten getätigten Zuwendungen hinzuzurechnen, soweit sie der Herabsetzung unterliegen ( Art. 475 und Art. 527 ZGB ); darüber hinaus sind auch die der Ausgleichung ( Art. 626 ZGB ) unterliegenden Zuwendungen hinzuzuaddieren. Haben wie hier die Ehegatten eine vollständige Zuweisung der Errungenschaft an den überlebenden Gatten vereinbart, können lebzeitige Zuwendungen des Erblassers aus Sicht der gemeinsamen Kinder für die erbrechtliche Teilung dennoch von Belang sein. Wiewohl die Nachkommen im vorliegenden Fall aus der Errungenschaft nichts zu beanspruchen haben, ist es möglich, dass sich die erbrechtliche Berechnungsmasse kraft Hinzurechnung herabsetzbarer bzw. ausgleichungspflichtiger Zuwendungen vergrössert und damit letztlich von grösseren Pflicht- bzw. Erbteilen der Beklagten 1 und 5 auszugehen sein wird. BGE 127 III 396 S. 400 b) Art. 208 Abs. 1 Ziff. 1 ZGB bestimmt, dass unentgeltliche Zuwendungen mit Ausnahme üblicher Gelegenheitsgeschenke, die ein Ehegatte während der letzten fünf Jahre vor Auflösung des Güterstandes ohne Zustimmung des anderen Ehegatten gemacht hat, zur Errungenschaft hinzugerechnet werden. Hat der überlebende Ehegatte solchen Zuwendungen an Dritte oder an Nachkommen zugestimmt, unterbleibt nach dem Wortlaut dieser Bestimmung eine güterrechtliche Hinzurechnung. Dies bedeutet indessen nicht, dass auch von einer erbrechtlichen abzusehen ist. aa) Das Bundesgericht hat in BGE 107 II 119 E. 2d S. 128 entschieden, dass eine Zuwendung ungeachtet ihrer güterrechtlichen Qualifikation in vollem Umfang zum Nachlassvermögen hinzugerechnet werden muss, sofern sie der Ausgleichung oder Herabsetzung unterliegt, weil andernfalls die Höhe der Pflichtteile und damit die verfügbare Quote zur Disposition des Erblassers stünden, was nicht mit Art. 475 ZGB zu vereinbaren ist. Ausserdem gelte es, eine unzulässige Vermengung von Güter- und Erbrecht zu verhindern ( BGE 107 II 119 E. 2d S. 126). Obwohl dieser Entscheid noch unter Geltung des Güterrechtes von 1907 ergangen ist, das noch keine mit Art. 208 ZGB vergleichbare Bestimmung enthielt (vgl. dazu LEMP, Berner Kommentar, N. 40 zu Art. 214 aZGB), können seine Ausführungen hinsichtlich der güter- und erbrechtlichen Bedeutung einer Zuwendung unter dem neuen, am 1. Januar 1988 in Kraft getretenen Güterrecht weiterhin Geltung beanspruchen. Stehen wie im vorliegenden Fall mutmassliche Zuwendungen an Dritte oder Nachkommen in Frage, die möglicherweise mit dem Einverständnis des Gatten des Zuwendenden getätigt worden sind, so ist am Grundsatz der vollen erbrechtlichen Hinzurechnung festzuhalten. Anders entscheiden hiesse, die güter- und erbrechtliche Relevanz solcher Zuwendungen miteinander zu vermengen. Abgesehen vom Sonderfall des Art. 216 Abs. 2 ZGB , der eine die Pflichtteile der gemeinsamen Kinder beeinträchtigende ehevertragliche Vorschlagszuweisung gestattet, besteht der erbrechtliche Pflichtteilsschutz als selbständiges Institut neben und unabhängig von den güterrechtlichen Verhältnissen des Erblassers. Die Pflichtteile stellen unbeschadet der güterrechtlichen Ausgestaltung eine feste Grösse dar, die unter den Voraussetzungen des Art. 527 ZGB durch Zuwendungen unter Lebenden nicht geschmälert werden können. Eine mit Zustimmung des überlebenden Ehegatten vorgenommene Zuwendung an Dritte oder Nachkommen ist daher in ihrem vollem Umfang erbrechtlich hinzuzurechnen, sofern sie der Herabsetzung BGE 127 III 396 S. 401 unterliegt oder auszugleichen ist (im gleichen Sinne WEIMAR, Berner Kommentar, N. 58 f. zu Art. 475 ZGB ; bezüglich der Ausgleichung: HAUSHEER/REUSSER/GEISER, Berner Kommentar, N. 68 zu Art. 220 ZGB ; JURIJ TBENN, Rechtsgeschäftliche Gestaltung der erbrechtlichen Ausgleichung, Diss. Zürich 2000, S. 114). Aufgrund der Aktenlage kann beim gegenwärtigen Verfahrensstand nicht ausgeschlossen werden, dass der Erblasser zu seinen Lebzeiten mit Zustimmung seiner Gattin einem Dritten oder einem Nachkommen eine solche Zuwendung zukommen lassen hat. bb) BGE 107 II 119 E. 2d S. 128 ist im Schrifttum Kritik erwachsen; mehrfach ist postuliert worden, eine herabsetzbare Zuwendung dürfe erbrechtlich nur im Umfang dessen hinzugerechnet werden, was unter Berücksichtigung der güterrechtlichen Auseinandersetzung tatsächlich in den Nachlass gefallen wäre (HAUSHEER/REUSSER/GEISER, a.a.O., N. 58 f. zu Art. 208 ZGB , N. 67 zu Art. 220 ZGB ; PIOTET, Deux questions nouvelles relatives à la réduction successorale, in: SJZ 78/1982 S. 211; DANIEL STAEHELIN, Basler Kommentar, N. 12 zu Art. 475 ZGB ; GUINAND, Libéralités entre vifs et conjoint survivant, in: Mélanges Piotet, Bern 1990, S. 65; NÄF-HOFMANN, Schweizerisches Ehe- und Erbrecht, Zürich 1998, N. 1692 ff.; REGINA E. AEBI-MÜLLER, Die optimale Begünstigung des überlebenden Ehegatten, Diss. Bern 2000, N. 08.45 f.; CHRISTOPH WILDISEN, Das Erbrecht des überlebenden Ehegatten, Diss. Freiburg 1997, S. 98 ff.). Dabei wird insbesondere mit dem Fall argumentiert, da der überlebende Ehegatte selbst Zuwendungsempfänger eines aus der Errungenschaft des anderen stammenden Vermögenswertes ist. Der lebzeitig bedachte Gatte stehe am Ende schlechter da, als wenn keine Zuwendung erfolgt wäre, weil aufgrund der vollen erbrechtlichen Hinzurechnung die Miterben in vollem Umfang am zugewendeten Vermögenswert partizipierten. Demgegenüber hätte der überlebende Ehegatte ohne lebzeitige Zuwendung kraft der unter Ausschluss der Miterben ihm gesetzlich zukommenden Vorschlagshälfte letztlich mehr erhalten. Im vorliegenden Fall kommt diese Kritik jedoch insofern nicht zum Tragen, als sich die Beklagten 1 und 5 nicht auf eine Ehegattenschenkung berufen und daher uneingeschränkt auf den Wortlaut von Art. 208 Abs. 1 Ziff. 1 ZGB abgestellt werden kann.</w:t>
      </w:r>
    </w:p>
    <w:p>
      <w:r>
        <w:rPr>
          <w:b/>
        </w:rPr>
        <w:t>E. 3</w:t>
      </w:r>
    </w:p>
    <w:p>
      <w:r>
        <w:t>Werden gegebenenfalls infolge ausgleichungspflichtiger bzw. herabsetzbarer Zuwendungen die Erb- bzw. Pflichtteile der Beklagten 1 und 5 rechnerisch neu zu bestimmen sein, so folgt hieraus, dass die Klägerin nicht berechtigt ist, sich unter Hinweis auf BGE 127 III 396 S. 402 die güterrechtlichen Verhältnisse ihrer Auskunftspflicht zu entschlagen. Gemäss Art. 610 Abs. 2 ZGB haben die Erben einander über ihr Verhältnis zum Erblasser alles mitzuteilen, was für die gleichmässige und gerechte Verteilung der Erbschaft in Berücksichtigung fällt. Nach ständiger Rechtsprechung ist das Informationsinteresse der an einem Erbgang beteiligten Erben in einem umfassenden Sinne zu schützen; mitzuteilen ist mithin alles, was bei einer objektiven Betrachtung möglicherweise geeignet erscheint, die Teilung in irgendeiner Weise zu beeinflussen, wozu ungeachtet der konkreten güterrechtlichen Verhältnisse insbesondere auch zu Lebzeiten des Erblassers getätigte Zuwendungen zu rechnen sind ( BGE 59 II 128 E. 2 S. 129; BGE 90 II 365 E. 3a und 3c S. 372 und 374; BGE 99 III 41 E. 3 S. 45). Dem steht der Grundsatz nicht entgegen, wonach vor der eigentlichen Erbteilung die güterrechtliche Auseinandersetzung durchzuführen ist ( BGE 107 II 119 E. 2d S. 127 oben), weil dies nichts anderes bedeutet, als dass der Gesamtnachlass mit einem Passivum zugunsten der Errungenschaft des Erblassers belastet ist (vgl. WEIMAR, a.a.O., N. 30 zu Art. 474 ZGB ). Im Entscheid vom 20. April 1994 i.S. H., E. 2c (auszugsweise wiedergegeben bei: BREITSCHMID, Die Stellung des Willensvollstreckers in der Erbteilung, in: Druey/Breitschmid [Hrsg.], Praktische Probleme der Erbteilung, Bern 1997, S. 164 ff.), hat das Bundesgericht erklärt, die um Auskunftserteilung angegangene Witwe könne sich weder mit Berufung auf die güterrechtlichen Verhältnisse noch mit Bestreitung der teilungsrechtlichen Relevanz der erhaltenen Zuwendung ihrer Informationspflicht entziehen. Angesichts dieser umfassenden Auskunftspflicht gegenüber den Miterben ist der klägerische Standpunkt nicht nachvollziehbar, die Beklagten 1 und 5 hätten sich mit ihrem Auskunftsgesuch an die Banken wenden sollen, die regelmässig Auskunft erteilten.</w:t>
      </w:r>
    </w:p>
    <w:p>
      <w:r>
        <w:rPr>
          <w:b/>
        </w:rPr>
        <w:t>E. 4</w:t>
      </w:r>
    </w:p>
    <w:p>
      <w:r>
        <w:t>a) Damit ergibt sich, dass die Beklagten 1 und 5 ein rechtlich geschütztes Interesse geltend machen können, von der Klägerin zu erfahren, ob und zu wessen Gunsten der Erblasser Zuwendungen vor mehr bzw. innerhalb der letzten fünf Jahre vor seinem Tode vorgenommen hat, denen die Klägerin zugestimmt hat ( Art. 208 Abs. 1 Ziff. 1 ZGB ). Sie wird gegebenenfalls über die näheren Modalitäten solcher Zuwendungen zu informieren haben, um den Beklagten 1 und 5 zu ermöglichen, unter Berücksichtigung der dergestalt gewonnenen Erkenntnisse ihre Erb- bzw. Pflichtteile rechnerisch neu zu bestimmen.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