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241</w:t>
      </w:r>
    </w:p>
    <w:p>
      <w:r>
        <w:t>Bundesgericht (BGE), 2001-01-01, DE</w:t>
      </w:r>
    </w:p>
    <w:p>
      <w:r>
        <w:rPr>
          <w:b/>
        </w:rPr>
        <w:t xml:space="preserve">Quelle: </w:t>
      </w:r>
      <w:r>
        <w:t>https://mcp.opencaselaw.ch/entscheid/bge_BGE_127_III_241</w:t>
      </w:r>
    </w:p>
    <w:p>
      <w:r>
        <w:t>FR: ATF 127 III 241</w:t>
      </w:r>
    </w:p>
    <w:p>
      <w:r>
        <w:t>IT: DTF 127 III 241</w:t>
      </w:r>
    </w:p>
    <w:p>
      <w:pPr>
        <w:pStyle w:val="Heading2"/>
      </w:pPr>
      <w:r>
        <w:t>Regeste</w:t>
      </w:r>
    </w:p>
    <w:p>
      <w:r>
        <w:t>Regeste Veränderung des Grundwasserspiegels zum Schaden des Nachbarn (Art. 689 ZGB). Ob eine künstliche Veränderung des Grundwasserspiegels, die einem Nachbarn einen Schaden verursacht, widerrechtlich ist, beurteilt sich nach Art. 689 ZGB und nicht nach Art. 684 ZGB (E. 5).</w:t>
      </w:r>
    </w:p>
    <w:p>
      <w:r>
        <w:t>Regeste Modification de la nappe phréatique au détriment du voisin (art. 689 CC). Savoir si une modification artificielle de la nappe phréatique qui cause un dommage à un voisin est illicite se détermine selon l'art. 689 CC et non selon l'art. 684 CC (consid. 5).</w:t>
      </w:r>
    </w:p>
    <w:p>
      <w:r>
        <w:t>Regesto Modifica della falda freatica a danno del vicino (art. 689 CC). La questione a sapere se una modifica artificiale della falda freatica che provoca un danno al vicino è illecita va giudicata secondo l'art. 689 CC e non secondo l'art. 684 CC (consid. 5).</w:t>
      </w:r>
    </w:p>
    <w:p>
      <w:pPr>
        <w:pStyle w:val="Heading2"/>
      </w:pPr>
      <w:r>
        <w:t>Erwägungen</w:t>
      </w:r>
    </w:p>
    <w:p>
      <w:r>
        <w:rPr>
          <w:b/>
        </w:rPr>
        <w:t>E. 5</w:t>
      </w:r>
    </w:p>
    <w:p>
      <w:r>
        <w:t>Der Appellationshof vertritt die Auffassung, dass der Anstieg des Grundwasserspiegels um ca. 10 cm, der durch die Abdichtung der Kanalisationsnebenleitung verursacht wurde, eine übermässige Immission im Sinn von Art. 684 ZGB darstelle. Die Beklagte sei daher gemäss Art. 679 ZGB für den durch den Grundwassereintritt verursachten Schaden haftbar. Die Beklagte wirft der Vorinstanz vor, zu Unrecht eine Haftung gemäss Art. 684/679 ZGB bejaht zu haben. a) Art. 684 ZGB verbietet einem Grundeigentümer in genereller Weise übermässige Einwirkungen auf ein benachbartes Grundstück. Nebst diesem Grundtatbestand sieht das Gesetz für verschiedene Spezialfälle Sonderregelungen vor, welche das nachbarrechtliche Verhältnis regeln. Bezüglich des Wasserablaufs bestimmt Art. 689 Abs. 1 ZGB , dass jeder Grundeigentümer verpflichtet ist, das Wasser aufzunehmen, das von dem oberhalb liegenden Grundstück natürlicherweise abfliesst (Abs. 1); der natürliche Ablauf darf nicht zum Schaden des Nachbarn verändert werden (Abs. 2); schliesslich darf das für das untere Grundstück nötige Abwasser nur insoweit entzogen werden, als es für das obere Grundstück unentbehrlich ist (Abs. 3). Zunächst ist zu prüfen, ob die Spezialregelung von Art. 689 ZGB auf den hier zu beurteilenden Fall anwendbar ist, oder ob die allgemeine Regel von Art. 684 ZGB massgebend ist. BGE 127 III 241 S. 243 aa) In der Literatur wird die Meinung vertreten, dass Art. 689 ZGB in Bezug auf das "natürlicherweise auf oder in der Erde vorhandene Wasser, soweit dieses keine Bäche formt", anwendbar sei (ARTHUR MEIER-HAYOZ, Berner Kommentar, N. 6 zu Art. 689/690 ZGB). Dieser Formulierung scheint die Annahme zugrunde zu liegen, dass sich Art. 689 ZGB auch auf Grundwasser bezieht, eine Sichtweise, die sich auch in einer älteren Dissertation findet: Art. 689 ZGB unterscheide nicht zwischen Oberflächen- und Grundwasser und sei auch auf Grundwasser anwendbar (ADOLF E. ALTHERR, Die rechtliche Behandlung des Grundwassers, Diss. Zürich 1934, S. 73). Nach einer anderen Auffassung soll sich Art. 689 ZGB nur auf das Oberflächenwasser beziehen und wäre daher im vorliegenden Fall nicht anwendbar (PETER LIVER, Das Eigentum, in: Schweizerisches Privatrecht, Bd. V/1, S. 254, Fn. 9; HEINZ REY, Basler Kommentar, N. 1 zu Art. 689 f. ZGB, mit Hinweis auf LIVER). Beide Autoren verweisen zur Begründung ihrer Auffassung auf BGE 64 II 340 ff., in welchem Entscheid das Bundesgericht ausführe, dass sich Art. 689 Abs. 3 ZGB ausschliesslich auf Oberflächenwasser beziehe, während das Grundwasser in Art. 704 Abs. 3 ZGB den Quellen gleichgestellt werde (a.a.O., E. 2 S. 342; vgl. auch BGE 48 II 322 ). bb) Die Regelung des Wasserablaufs in Art. 689 ZGB bezieht sich in erster Linie auf das Oberflächenwasser; dies ergibt sich schon aus dem Wortlaut des Gesetzes, der als Beispiele namentlich Regenwasser, Schneeschmelze und Wasser von nicht gefassten Quellen erwähnt. Auch aus den Materialien ergibt sich, dass der historische Gesetzgeber in erster Linie an Oberflächenwasser dachte (Erläuterungen zum Vorentwurf des EJPD, Drittes Heft, Das Sachenrecht, Bern 1902, S. 94 f.; BBl 1904 IV 66 betreffend Art. 679 VE; Sten.Bull. 1906 N S. 544, 548 f.). Allerdings schliessen weder Wortlaut noch Wortsinn von Art. 689 ZGB aus, diese Bestimmung ebenfalls auf Grundwasser anzuwenden. Wie Oberflächenwasser fliesst auch das Grundwasser von einem Grundstück zum anderen. Im vorliegenden Fall hat der Appellationshof gestützt auf die gutachterlichen Erkenntnisse sogar ausdrücklich festgehalten, dass das Grundwasser an der fraglichen Stelle gegen die klägerische Liegenschaft hin fliesse. Es mag als eher ungewöhnlich erscheinen, im Zusammenhang mit Grundwasser, das von einem Grundstück auf ein anderes fliesst, von einem "oberhalb liegenden" (vgl. Art. 689 Abs. 1 ZGB ) und einem unteren Grundstück zu sprechen. Fliesst aber Grundwasser - wie Oberflächenwasser - von einem Grundstück zum anderen, ist es durchaus sachgerecht, auch diesbezüglich von einem BGE 127 III 241 S. 244 "oberhalb liegenden" und einem "unteren Grundstück" zu sprechen. Nichts anderes kann für stehendes Grundwasser gelten, sind doch Veränderungen des Grundwasserspiegels zwangsläufig mit dem Zu- bzw. Abfluss von Wasser verbunden. cc) Aus BGE 64 II 340 ff. bzw. BGE 48 II 319 ff. ergibt sich entgegen den sich darauf berufenden Autoren LIVER und REY keineswegs, dass Art. 689 ZGB in Bezug auf das Grundwasser prinzipiell nicht anwendbar sei. In diesen Entscheiden hielt das Bundesgericht fest, dass der Quelleigentümer über sein Quellwasser frei verfügen könne, ohne dass der Eigentümer des unteren Grundstückes, auf welches das Wasser abfliesse, sich dagegen wehren könne; insbesondere könne er sich nicht auf Art. 689 Abs. 3 ZGB berufen, weil sich diese Bestimmung nur auf Oberflächenwasser beziehe ( BGE 64 II 340 E. 2 S. 342; BGE 48 II 319 E. 4 S. 322). In beiden Fällen ging es ausschliesslich um die Anwendung des Absatzes 3 von Art. 689 ZGB . Art. 689 Abs. 3 ZGB findet auf Grundwasser deshalb keine Anwendung, weil gemäss den Vorschriften von Art. 704 Abs. 1 und 3 ZGB der Quelleigentümer über das Quell- und Grundwasser frei verfügen kann. Es handelt sich hinsichtlich des Grundwassers um eine Art. 689 Abs. 3 ZGB derogierende Spezialvorschrift. Anders verhält es sich in Bezug auf Art. 689 Abs. 1 und 2 ZGB . Die Spezialvorschriften zum Quellenrecht äussern sich nicht zur Frage, ob der Quelleigentümer sein Wasser ohne weiteres auf das unten gelegene Grundstück abfliessen lassen darf. Diesbezüglich ist vielmehr Art. 689 Abs. 1 ZGB massgebend, welche Bestimmung den Grundeigentümer des unteren Grundstücks verpflichtet, das vom oberhalb liegenden Grundstück abfliessende Wasser, namentlich jenes nicht gefasster Quellen, aufzunehmen. Dass dieses Problem systematisch hier und nicht beim Quellrecht geregelt wurde, hat seinen Grund darin, dass es dabei eben nicht unmittelbar um die Quelle geht, sondern um das aus dieser abfliessende Wasser (Erläuterungen zum Vorentwurf, a.a.O., S. 95). Das Problem stellt sich beim Abfliessen von Quellwasser nicht anders als beim Abfluss von anderem Wasser, namentlich Grundwasser.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