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171</w:t>
      </w:r>
    </w:p>
    <w:p>
      <w:r>
        <w:t>Bundesgericht (BGE), 2001-01-01, DE</w:t>
      </w:r>
    </w:p>
    <w:p>
      <w:r>
        <w:rPr>
          <w:b/>
        </w:rPr>
        <w:t xml:space="preserve">Quelle: </w:t>
      </w:r>
      <w:r>
        <w:t>https://mcp.opencaselaw.ch/entscheid/bge_BGE_127_III_171</w:t>
      </w:r>
    </w:p>
    <w:p>
      <w:r>
        <w:t>FR: ATF 127 III 171</w:t>
      </w:r>
    </w:p>
    <w:p>
      <w:r>
        <w:t>IT: DTF 127 III 171</w:t>
      </w:r>
    </w:p>
    <w:p>
      <w:pPr>
        <w:pStyle w:val="Heading2"/>
      </w:pPr>
      <w:r>
        <w:t>Regeste</w:t>
      </w:r>
    </w:p>
    <w:p>
      <w:r>
        <w:t>Regeste Instanzenzug im kantonalen Beschwerdeverfahren (Art. 13 Abs. 2 SchKG). Die obere kantonale Aufsichtsbehörde, die einen Nichteintretensentscheid einer unteren Aufsichtsbehörde aufhebt, ist von Bundesrechts wegen nicht verpflichtet, die Sache zur materiellen Beurteilung an die Vorinstanz zurückzuweisen; sie darf die Beschwerde selbst behandeln (Präzisierung der Rechtsprechung; E. 2).</w:t>
      </w:r>
    </w:p>
    <w:p>
      <w:r>
        <w:t>Regeste Voies de recours en procédure cantonale (art. 13 al. 2 LP). L'autorité cantonale supérieure de surveillance qui annule une décision d'irrecevabilité prise par une autorité inférieure de surveillance n'est pas tenue, en vertu du droit fédéral, de renvoyer l'affaire en première instance pour jugement au fond; elle peut traiter elle-même la plainte (précision de la jurisprudence; consid. 2).</w:t>
      </w:r>
    </w:p>
    <w:p>
      <w:r>
        <w:t>Regesto Rimedi di diritto nella procedura cantonale (art. 13 cpv. 2 LEF). L'autorità cantonale superiore di vigilanza che annulla una decisione d'irricevibilità pronunciata da un'autorità inferiore di vigilanza non è tenuta, in virtù del diritto federale, a rinviare gli atti alla prima istanza per un giudizio sul merito; essa può trattare il ricorso direttamente (precisazione della giurisprudenza; consid. 2).</w:t>
      </w:r>
    </w:p>
    <w:p>
      <w:pPr>
        <w:pStyle w:val="Heading2"/>
      </w:pPr>
      <w:r>
        <w:t>Erwägungen</w:t>
      </w:r>
    </w:p>
    <w:p>
      <w:r>
        <w:rPr>
          <w:b/>
        </w:rPr>
        <w:t>E. 2</w:t>
      </w:r>
    </w:p>
    <w:p>
      <w:r>
        <w:t>a) Im Gegensatz zur unteren Aufsichtsbehörde ist das Obergericht zum Schluss gelangt, die bei jener eingereichte Beschwerde sei weder als weitschweifig noch als schwer lesbar im Sinne von § 131 Abs. 1 des zürcherischen Gerichtsverfassungsgesetzes vom (GVG/ZH), geschweige denn als in einer andern als der (deutschen) Amtssprache abgefasst ( § 130 GVG /ZH) zu betrachten; das Bezirksgericht sei mithin auf die Eingabe zu Unrecht nicht eingetreten. Sodann weist die Vorinstanz darauf hin, dass von Bundesrechts wegen für die Beschwerde in Schuldbetreibungs- und Konkurssachen ein zweistufiges kantonales Verfahren nicht vorgeschrieben sei. Sie hat deshalb dafür gehalten, dass von einer Rückweisung der Sache zur materiellen Beurteilung durch die untere Aufsichtsbehörde abzusehen sei, und über die Beschwerde gleich selbst entschieden. Die Beschwerdeführerin rügt (unter Hinweis auf Art. 280 Abs. 2 der kantonalen Zivilprozessordnung und Art. 13 SchKG ) den Verzicht auf Rückweisung der Sache an das Bezirksgericht. b) Das Bundesgericht hat in BGE 113 III 113 ff. festgehalten, dass in Kantonen, wo zwei Aufsichtsbehörden vorgesehen sind, diese von Bundesrechts wegen den Instanzenzug zu beachten hätten und die obere Aufsichtsbehörde deshalb nicht befugt sei, eine Beschwerde als einzige kantonale Instanz zu beurteilen (E. 2 S. 115 f.). Zur Beurteilung stand damals ein Fall, in dem der Beschwerdeführer - wie zuvor angekündigt - eine Ergänzung zu seiner Beschwerde einreichte und die untere kantonale Aufsichtsbehörde, die die Beschwerde, soweit sie darauf eintrat, in der Zwischenzeit abgewiesen hatte, die neue Eingabe direkt an die obere Aufsichtsbehörde weiterleitete, worauf sie als Beschwerde gegen den Entscheid der unteren Instanz behandelt wurde. Anders als dort hat die untere Aufsichtsbehörde hier die Beschwerde entgegengenommen und (formell) beurteilt, auch wenn sie beschlossen hat, es werde auf sie nicht eingetreten. Wie in BGE 50 III 189 ff. entschieden, ist die Regelung BGE 127 III 171 S. 173 der Frage, ob die obere kantonale Aufsichtsbehörde, die einen Nichteintretensentscheid der unteren Instanz aufhebt, gleich selbst die Beschwerde materiell behandeln darf oder ob sie diese an die untere Instanz zurückzuweisen hat, dem kantonalen Recht vorbehalten (S. 190). Aus dieser Sicht ist der angefochtene Entscheid somit nicht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