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147</w:t>
      </w:r>
    </w:p>
    <w:p>
      <w:r>
        <w:t>Bundesgericht (BGE), 2001-01-01, FR</w:t>
      </w:r>
    </w:p>
    <w:p>
      <w:r>
        <w:rPr>
          <w:b/>
        </w:rPr>
        <w:t xml:space="preserve">Quelle: </w:t>
      </w:r>
      <w:r>
        <w:t>https://mcp.opencaselaw.ch/entscheid/bge_BGE_127_III_147</w:t>
      </w:r>
    </w:p>
    <w:p>
      <w:r>
        <w:t>FR: ATF 127 III 147</w:t>
      </w:r>
    </w:p>
    <w:p>
      <w:r>
        <w:t>IT: DTF 127 III 147</w:t>
      </w:r>
    </w:p>
    <w:p>
      <w:pPr>
        <w:pStyle w:val="Heading2"/>
      </w:pPr>
      <w:r>
        <w:t>Regeste</w:t>
      </w:r>
    </w:p>
    <w:p>
      <w:r>
        <w:t>Regeste Kontokorrent; Gültigkeit der Rückbelastung einer Gutschrift. Hat der Bankkunde die Anzeige der Rückbelastung einer Gutschrift nicht innert der vertraglichen Frist angefochten, weil er sich für die Erstattung des zurückbelasteten Betrages vorerst nicht an die Bank, sondern an einen anderen Beteiligten halten wollte, hat er die Rückbelastung konkludent akzeptiert und damit mit der Bank ein negatives Schuldanerkenntnis geschlossen. Im vorliegenden Fall war dieser Vertrag nicht mit einem Willensmangel behaftet (E. 2).</w:t>
      </w:r>
    </w:p>
    <w:p>
      <w:r>
        <w:t>Regeste Compte courant. Validité de l'extourne d'un crédit. Lorsque le client d'une banque n'a pas contesté l'avis d'extourne d'un crédit dans le délai contractuel, choisissant dans un premier temps de ne pas s'en prendre à la banque et d'entreprendre des démarches auprès d'un autre protagoniste de l'affaire pour obtenir le remboursement du montant extourné, il convient d'admettre que ce client a accepté l'extourne par acte concluant et a ainsi conclu avec la banque un contrat de reconnaissance de dette négative. En l'espèce, il a été considéré que ce contrat n'était pas affecté d'un vice du consentement (consid. 2).</w:t>
      </w:r>
    </w:p>
    <w:p>
      <w:r>
        <w:t>Regesto Conto corrente. Validità dello storno di un credito. Se il cliente di una banca ha omesso di contestare l'avviso di storno entro il termine contrattuale, avendo scelto - in un primo tempo - di non chiedere ad essa bensì ad un'altra parte coinvolta nell'affare il rimborso dell'importo stornato, si deve ritenere ch'egli ha accettato lo storno mediante atti concludenti, stipulando contestualmente un riconoscimento di debito negativo con la banca. In concreto si è giunti alla conclusione che questo contratto non è affetto da un vizio di volontà (consid. 2).</w:t>
      </w:r>
    </w:p>
    <w:p>
      <w:pPr>
        <w:pStyle w:val="Heading2"/>
      </w:pPr>
      <w:r>
        <w:t>Erwägungen</w:t>
      </w:r>
    </w:p>
    <w:p>
      <w:r>
        <w:rPr>
          <w:b/>
        </w:rPr>
        <w:t>E. 2</w:t>
      </w:r>
    </w:p>
    <w:p>
      <w:r>
        <w:t>a) Entre la venderesse (la demanderesse) et l'acheteuse (D.), il avait été convenu d'un paiement au moyen de virements bancaires en série (sur cette figure juridique: cf. ATF 124 III 253 consid. 3b; ATF 121 III 310 consid. 3a). Dans un tel cas, l'engagement pris par chaque banque assignée revêt un caractère abstrait, c'est-à-dire qu'il est indépendant du rapport de provision et du rapport de valeur ( ATF 124 III 253 ibidem; ATF 121 III 109 consid. 3a). La question posée par le recours n'est cependant pas celle de la validité de l'avis de crédit, mais bien celle de la validité de l'extourne. Il faut donc s'interroger sur le sens et la portée juridique de l'extourne. b) Il convient tout d'abord d'observer que les parties avaient conclu un contrat de compte courant (sur cette figure juridique: cf. ATF 100 III 79 ; ENGEL, Traité des obligations en droit suisse, 2ème éd., p. 773 s.). Dans un compte courant, les prétentions et contre-prétentions portées en compte s'éteignent par compensation et une nouvelle créance prend naissance à concurrence du solde (cf. ATF 104 II 190 consid. 2a et 2c; arrêt du 23 décembre 1993 publié in: SJ 1994 p. 269 ss, consid. 4a/bb). Il y a novation lorsque le solde du compte a été arrêté et reconnu ( art. 117 al. 2 CO ). Les parties peuvent convenir d'une reconnaissance tacite (cf. DANIEL GUGGENHEIM, Die Verträge der schweizerischen Bankpraxis, p. 228 s.). La novation suppose cependant une cause valable ( ATF 104 II 190 consid. 3a; arrêt du 23 décembre 1993 précité, ibidem). Il n'est donc pas a priori exclu de démontrer que le solde reconnu est faux ( ATF 104 II 190 consid. 3a; LAURENT ETTER, Le contrat de compte courant, thèse Lausanne 1994, p. 219). Il est cependant admis que la reconnaissance du solde vaut renonciation à invoquer les exceptions et objections connues ( ATF 104 II 190 consid. 3a; GUGGENHEIM, op. cit., p. 230). c) Les parties ne se sont pas bornées à conclure un contrat de compte courant; elles ont aussi adopté l'art. 7 des conditions générales de la défenderesse. Cette clause contractuelle prévoit qu'il incombe au client, en cas de désaccord, de réagir immédiatement à l'égard de toute communication de la banque (et non pas seulement lorsqu'il s'agit d'établir un solde de compte). Certes, cette clause générale ne fixe pas un délai précis pour réagir, mais elle prévoit en revanche clairement, pour ce qui est des relevés de compte périodiques, que les contestations doivent être présentées dans le délai d'un mois. Cette exigence d'une BGE 127 III 147 S. 151 réclamation dans un certain délai n'est pas sans rappeler l' art. 454 al. 2 CO . On peut donc se demander si l'on ne se trouve pas en présence d'une clause instituant une péremption conventionnelle. La jurisprudence a d'ailleurs reconnu, au sujet de ce même art. 7 des conditions générales, que la défenderesse avait un intérêt légitime à connaître rapidement les postes contestés (arrêt du 7 décembre 1984 publié in: SJ 1985 p. 246 ss consid. 2). Il n'est toutefois pas nécessaire d'approfondir la question sous cet angle. d) En envoyant l'avis d'extourne, la recourante a manifesté sa volonté d'annuler les effets de l'avis de crédit. Cet avis doit s'interpréter comme une offre de convenir que l'avis de crédit est sans effet. En n'émettant ni opposition ni réserves dans le délai contractuel et en entreprenant les démarches décrites en détail dans le jugement de première instance, l'intimée, choisissant de ne pas s'en prendre à la banque, a accepté l'extourne par acte concluant. Un contrat a donc été conclu sur un objet qui était indiscutablement à la libre disposition des parties. En présence d'une situation exceptionnelle et complexe, alors que la défenderesse contestait s'être engagée valablement, les parties sont convenues d'admettre qu'il n'y avait pas dette. La qualification juridique de ce contrat, qui relève de la liberté contractuelle, peut paraître délicate puisqu'il présente tout à la fois les aspects de la remise d'une dette éventuelle et ceux d'une transaction; la doctrine connaît cette figure sous la dénomination de contrat de reconnaissance de dette négative (VON TUHR/ESCHER, Allgemeiner Teil des Schweizerischen Obligationenrechts, vol. II, p. 179; GONZENBACH, Commentaire bâlois, 2ème éd., n. 3 ad art. 115 CO ; AEPLI, Commentaire zurichois, n. 22 ad art. 115 CO ). Ainsi, il a été conclu une convention qui lie l'intimée. Dans un tel contrat, les possibilités d'invoquer une erreur sont très restreintes (VON TUHR/ESCHER, op. cit., ibidem). e) Il reste à vérifier si ce contrat n'est pas affecté d'un vice du consentement ( art. 23 ss CO ). Il résulte des constatations cantonales que l'intimée a connu immédiatement l'ensemble des faits de façon véridique; la défenderesse lui a aussi exposé sans retard sa position juridique. La demanderesse disposait donc de tous les éléments de fait nécessaires pour se déterminer et il lui appartenait d'examiner de manière critique l'argumentation juridique de son cocontractant. Il est évident que l'intimée devait prendre en considération les possibilités d'obtenir satisfaction par une autre voie, dans le souci de maintenir de bonnes relations BGE 127 III 147 S. 152 avec sa banque et de se prémunir contre les risques liés à toute procédure judiciaire. L'intimée soutient qu'elle n'a pas pensé, pendant environ six ans, à l'argumentation juridique soutenue actuellement par son avocat. Dans le contexte de cette affaire, on peut parfaitement imaginer que la demanderesse, souhaitant garder de bonnes relations avec la défenderesse, ait trouvé inéquitable, dans ces circonstances exceptionnelles, que celle-ci doive supporter la perte et qu'elle ait préféré s'adresser à un autre protagoniste de cette affaire, d'autant que ce procédé pouvait lui apparaître plus efficace. On voit donc que la qualité de l'argumentation juridique n'était que l'un des paramètres à prendre en compte; partant, il ne s'agissait pas d'un élément nécessaire et, s'il y a eu erreur, il faut considérer qu'il ne s'agit que d'une erreur sur les motifs ( art. 24 al. 2 CO ; ATF 118 II 58 consid. 3). Il y a ensuite lieu de rechercher si l'intimée a conclu sous l'effet d'un dol ( art. 28 CO ). Il n'est cependant pas établi que l'un ou l'autre des auxiliaires de la banque ait eu l'intention de tromper la demanderesse ou qu'ils aient donné sciemment des renseignements faux sur les faits. Le seul reproche qu'on leur adresse concerne leur argumentation juridique, qui n'est pas celle que la cour cantonale a retenue. On rejoint ici un autre argument invoqué, à savoir que la banque serait de mauvaise foi, parce qu'elle aurait malicieusement dissuadé l'intimée d'agir contre elle. L'autorité cantonale admet elle-même que le résultat aurait été différent si la banque avait assorti son avis de crédit d'une condition, par exemple "sauf encaissement" ou "sous réserve de bonne fin". Elle ajoute cependant qu'il existe des situations, notamment pour l'encaissement des effets de change, où cette condition est implicite. Cette opinion est conforme à la doctrine (ETTER, op. cit., p. 135/136). Dans le cas d'espèce, la défenderesse avait accepté, dans l'intérêt de sa cliente, d'inscrire rapidement les virements en compte, pour qu'ils portent intérêt, sans attendre une communication interne de X. à New York. On peut se demander si, dans de telles circonstances, la clause "sauf bonne fin" n'était pas implicite. Il ne s'agit pas ici de trancher la question, mais il faut constater que la situation était suffisamment complexe pour que la banque puisse soutenir de bonne foi la position juridique qui a été la sienne. Que le juge de première instance lui ait donné gain de cause confirme d'ailleurs que la situation n'était pas évidente. En conséquence, on ne saurait dire que la défenderesse, par la position qu'elle a adoptée BGE 127 III 147 S. 153 sur le plan du droit, a agi de mauvaise foi ou fait preuve d'une intention dolosive. Ayant accepté l'extourne par acte concluant, l'intimée se trouve liée par cet accord, de sorte que sa demande doit être rejetée. Dans ces conditions, il est superflu d'examiner l'autre grief soulevé par la recourante. Enfin, pour répondre à un argument de l'intimée, il convient de rappeler que, dans le rapport entre l'assigné et l'assignataire, l'assigné n'est pas garant de l'exactitude de ses opinions juridiques; dans une assignation bancaire, la banque assignée ne joue pas le rôle de conseiller de son client.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