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61</w:t>
      </w:r>
    </w:p>
    <w:p>
      <w:r>
        <w:t>Bundesgericht (BGE), 2000-01-01, DE</w:t>
      </w:r>
    </w:p>
    <w:p>
      <w:r>
        <w:rPr>
          <w:b/>
        </w:rPr>
        <w:t xml:space="preserve">Quelle: </w:t>
      </w:r>
      <w:r>
        <w:t>https://mcp.opencaselaw.ch/entscheid/bge_BGE_126_V_61</w:t>
      </w:r>
    </w:p>
    <w:p>
      <w:r>
        <w:t>FR: ATF 126 V 61</w:t>
      </w:r>
    </w:p>
    <w:p>
      <w:r>
        <w:t>IT: DTF 126 V 61</w:t>
      </w:r>
    </w:p>
    <w:p>
      <w:pPr>
        <w:pStyle w:val="Heading2"/>
      </w:pPr>
      <w:r>
        <w:t>Regeste</w:t>
      </w:r>
    </w:p>
    <w:p>
      <w:r>
        <w:t>Regeste Art. 52 AHVG: Dauer der Haftung des Verwaltungsratsmitglieds einer Aktiengesellschaft. - Massgebend für die Dauer der Haftung des Verwaltungsratsmitglieds ist der Zeitpunkt der tatsächlichen Beendigung des Mandates. - Auf diesen Zeitpunkt ist selbst dann abzustellen, wenn die Löschung des Eintrages im Handelsregister unterlassen wird. Gutglaubensschutz im Rahmen des Handelsregistereintrages verneint.</w:t>
      </w:r>
    </w:p>
    <w:p>
      <w:r>
        <w:t>Regeste Art. 52 LAVS : Durée de la responsabilité de l'administrateur d'une société anonyme. - Le moment de la fin effective du mandat est déterminant pour fixer la durée de la responsabilité de l'administrateur. - Ce moment est déterminant, même lorsque la radiation de l'inscription au registre du commerce a été omise. Il n'y a pas de protection de la bonne foi liée à une telle inscription.</w:t>
      </w:r>
    </w:p>
    <w:p>
      <w:r>
        <w:t>Regesto Art. 52 LAVS: Durata della responsabilità dell'amministratore di una società anonima. - Determinante ai fini dell'accertamento della durata della responsabilità dell'amministratore è il momento dell'estinzione effettiva del mandato. - Detto momento è decisivo pure qualora si sia omesso di procedere alla cancellazione dell'iscrizione nel registro di commercio. Il diritto alla tutela della buona fede non può essere fatto valere in relazione con una simile iscrizione.</w:t>
      </w:r>
    </w:p>
    <w:p>
      <w:pPr>
        <w:pStyle w:val="Heading2"/>
      </w:pPr>
      <w:r>
        <w:t>Erwägungen</w:t>
      </w:r>
    </w:p>
    <w:p>
      <w:r>
        <w:rPr>
          <w:b/>
        </w:rPr>
        <w:t>E. 4</w:t>
      </w:r>
    </w:p>
    <w:p>
      <w:r>
        <w:t>a) Nach ständiger Rechtsprechung zu Art. 52 AHVG ( BGE 123 V 173 Erw. 3a, BGE 112 V 4 Erw. 3c, BGE 109 V 93 Erw. 13; vgl. auch THOMAS NUSSBAUMER, Die Haftung des Verwaltungsrates nach Art. 52 AHVG , in: AJP 1996 S. 1081) dauert die Verantwortlichkeit eines Verwaltungsrates in der Regel bis zum Moment seines tatsächlichen Austritts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Verwaltungsratsstellung erhalten haben. Mit anderen Worten kann ein Verwaltungsrat nur für Schaden haftbar erklärt werden, der auf die Nichtbezahlung von Beiträgen zurückzuführen ist, welche im Zeitpunkt seines effektiven Austrittes entstanden und fällig waren. Vorbehalten bleibt der Fall, in dem der BGE 126 V 61 S. 62 Schaden durch Handlungen verursacht worden ist, deren Wirkungen sich jedoch erst nach seinem Rücktritt als Verwaltungsrat entfaltet haben. b) Mit Blick auf die öffentlichrechtliche Natur und die Funktion der Haftung nach Art. 52 AHVG , welche darin liegen, dass Arbeitgeber und Organe ihren AHV-rechtlichen Pflichten ( Art. 51 AHVG ) nachkommen sollen und im Falle ihrer Verletzung für den dadurch angerichteten Schaden Ersatz zu leisten haben, rechtfertigt es sich, diese Rechtsprechung auch auf diejenigen Konstellationen anzuwenden, in denen das Verwaltungsratsmandat nicht wegen Rücktritts oder Abberufung beendet wird, sondern zufolge fehlender Wiederwahl nach Ablauf der gesetzlichen oder statutarischen Amtsdauer, wenn besondere Verhältnisse im Einzelfall vermuten lassen, dass eine Wiederwahl nicht stattgefunden hätte. Denn diesen beiden Sachverhalten ist gemeinsam, dass die Funktion des Verwaltungsrates in der Firma tatsächlich nicht mehr ausgeübt wird, welcher Umstand für ihre Gleichbehandlung spricht (zur Bedeutung der Rechtsgleichheit im Rahmen der materiellen Gesetzesauslegung vgl. BGE 119 V 130 Erw. 5b). Dass die Verhältnisse bei stillschweigendem Auslaufen und Nichterneuerung des Verwaltungsratsmandates nach Ablauf der Amtsdauer nicht so klar zu Tage treten wie bei den sich in entsprechenden Erklärungen, Protokollen usw. niederschlagenden Akten des Rücktritts und der Abberufung, stellt keinen Grund für eine materiellrechtlich ungleiche Behandlung dar. Vielmehr ist in der ersten Fallgruppe in beweismässiger Hinsicht zu verlangen, dass die fehlenden Bindungen, also die vollständige Loslösung des früheren Organs von der Firma, klar ausgewiesen sind. c) Indessen stellt sich die vom Eidg. Versicherungsgericht bereits im nicht veröffentlichten Urteil G. vom 19. September 1997 aufgeworfene und schliesslich offen gelassene Frage, ob der ausscheidende Verwaltungsrat - im Hinblick auf den Schutz des guten Glaubens Dritter - für die Folgen seiner Unterlassung, die Löschung der Verwaltungsratsstellung beim Handelsregisterführer anzumelden ( Art. 25a HRegV ), einzustehen habe. Aus den im Urteil G. angestellten Überlegungen ist dies, entgegen der von der Vorinstanz vertretenen Auffassung, zu verneinen: Die Verantwortlichkeit des Verwaltungsrates nach Art. 52 AHVG beruht auf der gesetzlichen Pflicht, für die Bezahlung der geschuldeten Sozialversicherungsbeiträge zu sorgen. Damit unterscheidet sich die Situation der Ausgleichskasse wesentlich von derjenigen eines privaten Gläubigers, der u.a. auf der Grundlage der handelsregisterlich ausgewiesenen BGE 126 V 61 S. 63 Besetzung des Verwaltungsrates die Bonität der Gesellschaft einschätzt und sich gestützt darauf entschliesst, ob er mit ihr Geschäfte eingeht.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