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461</w:t>
      </w:r>
    </w:p>
    <w:p>
      <w:r>
        <w:t>Bundesgericht (BGE), 2000-12-22, DE</w:t>
      </w:r>
    </w:p>
    <w:p>
      <w:r>
        <w:rPr>
          <w:b/>
        </w:rPr>
        <w:t xml:space="preserve">Quelle: </w:t>
      </w:r>
      <w:r>
        <w:t>https://mcp.opencaselaw.ch/entscheid/bge_BGE_126_V_461</w:t>
      </w:r>
    </w:p>
    <w:p>
      <w:r>
        <w:t>FR: ATF 126 V 461</w:t>
      </w:r>
    </w:p>
    <w:p>
      <w:r>
        <w:t>IT: DTF 126 V 461</w:t>
      </w:r>
    </w:p>
    <w:p>
      <w:pPr>
        <w:pStyle w:val="Heading2"/>
      </w:pPr>
      <w:r>
        <w:t>Regeste</w:t>
      </w:r>
    </w:p>
    <w:p>
      <w:r>
        <w:t>Regeste Art. 4 und 16 IVG: Invaliditätsbedingt verzögerte erstmalige berufliche Ausbildung. Das Gesetz verlangt nicht Kontemporalität von Gesundheitsschaden und Erwerbsunfähigkeit.</w:t>
      </w:r>
    </w:p>
    <w:p>
      <w:r>
        <w:t>Regeste Art. 4 et 16 LAI: Formation professionnelle initiale retardée par l'invalidité. La loi n'exige pas que l'atteinte à la santé et l'incapacité de gain soient simultanées.</w:t>
      </w:r>
    </w:p>
    <w:p>
      <w:r>
        <w:t>Regesto Art. 4 e 16 LAI: Prima formazione professionale ritardata a causa d'invalidità. La legge non esige che il danno alla salute e l'incapacità di guadagno siano simultanei.</w:t>
      </w:r>
    </w:p>
    <w:p>
      <w:pPr>
        <w:pStyle w:val="Heading2"/>
      </w:pPr>
      <w:r>
        <w:t>Erwägungen</w:t>
      </w:r>
    </w:p>
    <w:p>
      <w:r>
        <w:rPr>
          <w:b/>
        </w:rPr>
        <w:t>E. 1</w:t>
      </w:r>
    </w:p>
    <w:p>
      <w:r>
        <w:t>Nach Art. 4 Abs. 1 IVG gilt als Invalidität im Sinne dieses Gesetzes die durch einen körperlichen oder geistigen Gesundheitsschaden als Folge von Geburtsgebrechen, Krankheit oder Unfall verursachte, voraussichtlich bleibende oder längere Zeit dauernde Erwerbsunfähigkeit. Nach Abs. 2 dieser Bestimmung gilt die Invalidität als eingetreten, sobald sie die für die Begründung des Anspruchs auf die jeweilige Leistung erforderliche Art und Schwere erreicht hat. Das IVG beruht somit auf dem Konzept des leistungsspezifischen Invaliditätsfalles ( BGE 126 V 242 Erw. 4). Dies bedeutet im Bereich der beruflichen Eingliederungsmassnahmen ( Art. 15 ff. IVG ) u.a., dass ein Anspruch auf Beiträge an die erstmalige berufliche Ausbildung besteht, wenn dem Versicherten aus Gründen eines bleibenden oder längere Zeit dauernden Gesundheitsschadens, somit invaliditätsbedingt, in wesentlichem Umfange zusätzliche Kosten entstehen ( Art. 16 Abs. 1 IVG in Verbindung mit Art. 5 Abs. 2 IVV ). Dabei gilt es in Bezug auf den Erwerbsausfall, der mit der Absolvierung BGE 126 V 461 S. 462 einer erstmaligen beruflichen Ausbildung verbunden sein kann, Art. 22 IVG zu beachten. Nach dessen Absatz 1 Satz 2 wird u.a. Versicherten in der erstmaligen beruflichen Ausbildung ein Taggeld ausgerichtet, wenn sie eine invaliditätsbedingte Erwerbseinbusse erleiden.</w:t>
      </w:r>
    </w:p>
    <w:p>
      <w:r>
        <w:rPr>
          <w:b/>
        </w:rPr>
        <w:t>E. 2</w:t>
      </w:r>
    </w:p>
    <w:p>
      <w:r>
        <w:t>Prozessthema bildet die Frage, ob bei der Beschwerdeführerin eine leistungsspezifische Invalidität in dem Sinne vorliegt, dass sie in der Zeit von Ende Oktober 1991, als sie die Lehre abbrach, bis im Januar 1996, als sie nach der Entlassung aus der Drogenrehabilitation die Tätigkeit als Aushilfe in der Firma X aufnahm, aus psychischen Gründen daran gehindert worden ist, im üblichen Rahmen die erstmalige berufliche Ausbildung zu absolvieren. Wird diese Frage verneint, liegt keine Invalidität vor, und die Beschwerdeführerin kann folglich für die berufliche Ausbildung, der sie sich nunmehr unterziehen will, keine Ansprüche gegen die Invalidenversicherung erheben. Wird die Frage bejaht, hätte dies zur Folge, dass die nunmehr nachzuholende erstmalige berufliche Ausbildung als invaliditätsbedingt verspätet zu qualifizieren und der damit verbundene Erwerbsausfall als invaliditätsbedingte Erwerbseinbusse gestützt auf Art. 22 Abs. 1 Satz 2 IVG von der Invalidenversicherung taggeldmässig zu entschädigen ist. Hingegen ist es, entgegen der offenbaren Auffassung des kantonalen Gerichts, unerheblich, ob die Beschwerdeführerin noch bei Erlass der angefochtenen Verwaltungsverfügung am 17. Januar 1997 an einem invalidisierenden psychischen Gesundheitsschaden litt, weshalb in dieser Richtung von vornherein kein Abklärungsbedarf besteht. Denn es kommt im Rahmen von Art. 4 Abs. 1 IVG , von seinem ausdrücklichen Wortlaut wie von der Systematik der Invalidenversicherung als final konzipierter Erwerbsausfallversicherung (AHI 1999 S. 79) her, nicht auf die Gleichzeitigkeit (Kontemporalität), sondern auf die Kausalität von Gesundheitsschaden und Erwerbsunfähigkeit (ALFRED BÜHLER, Zur rechtlichen Bedeutung der invaliditätsfremden Gründe der Erwerbsunfähigkeit für die Invaliditätsbemessung, in: SZS 1993 S. 249 ff.) an, wie in der Verwaltungsgerichtsbeschwerde richtig bemerkt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