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w:t>
      </w:r>
    </w:p>
    <w:p>
      <w:r>
        <w:t>Bundesgericht (BGE), 2000-01-01, FR</w:t>
      </w:r>
    </w:p>
    <w:p>
      <w:r>
        <w:rPr>
          <w:b/>
        </w:rPr>
        <w:t xml:space="preserve">Quelle: </w:t>
      </w:r>
      <w:r>
        <w:t>https://mcp.opencaselaw.ch/entscheid/bge_BGE_126_V_42</w:t>
      </w:r>
    </w:p>
    <w:p>
      <w:r>
        <w:t>FR: ATF 126 V 42</w:t>
      </w:r>
    </w:p>
    <w:p>
      <w:r>
        <w:t>IT: DTF 126 V 42</w:t>
      </w:r>
    </w:p>
    <w:p>
      <w:pPr>
        <w:pStyle w:val="Heading2"/>
      </w:pPr>
      <w:r>
        <w:t>Regeste</w:t>
      </w:r>
    </w:p>
    <w:p>
      <w:r>
        <w:t>Regeste Art. 65, 66 und 95 Abs. 1 und 2 AVIG; Art. 90 Abs. 4 AVIV: Rückerstattung von Einarbeitungszuschüssen durch den Arbeitgeber. Im beurteilten Fall sind die Zuschüsse dem Arbeitgeber unter der Resolutivbedingung ausgerichtet worden, dass der Arbeitsvertrag ausserhalb der Probezeit nicht ohne wichtigen Grund während der Einarbeitungzeit und den drei darauf folgenden Monaten aufgelöst wird. Wird diese Bedingung nicht erfüllt, kann die Verwaltung vom Arbeitgeber die Rückerstattung der bezogenen Zuschüsse verlangen, ohne dass die für einen Widerruf von Verfügungen vorausgesetzten Bedingungen erfüllt sein müssen.</w:t>
      </w:r>
    </w:p>
    <w:p>
      <w:r>
        <w:t>Regeste Art. 65, 66 et 95 al. 1 et 2 LACI; art. 90 al. 4 OACI: Restitution par l'employeur d'allocations d'initiation au travail: In casu, les allocations ont été versées à l'employeur sous la condition résolutoire que le contrat de travail ne soit pas résilié, en dehors du temps d'essai et sans juste motif, pendant la période d'initiation ou dans les trois mois suivant celle-ci. Si cette condition n'est pas remplie, l'administration peut demander à l'employeur de restituer les allocations perçues, sans devoir respecter les exigences auxquelles est soumise la révocation des décisions.</w:t>
      </w:r>
    </w:p>
    <w:p>
      <w:r>
        <w:t>Regesto Art. 65, 66 e 95 cpv. 1 e 2 LADI; art. 90 cpv. 4 OADI: Restituzione da parte del datore di lavoro di assegni per il periodo di introduzione. Riconoscimento nella fattispecie di assegni sottoposto alla condizione risolutiva secondo cui il rapporto di lavoro non venga disdetto, al di fuori del tempo di prova e in assenza di causa grave, durante il periodo di introduzione o nei tre mesi successivi. Se questo presupposto non è realizzato, l'amministrazione può chiedere al datore di lavoro la restituzione degli assegni percepiti, a prescindere dall'adempimento dei requisiti cui è subordinata la revoca di una decisione.</w:t>
      </w:r>
    </w:p>
    <w:p>
      <w:pPr>
        <w:pStyle w:val="Heading2"/>
      </w:pPr>
      <w:r>
        <w:t>Erwägungen</w:t>
      </w:r>
    </w:p>
    <w:p>
      <w:r>
        <w:rPr>
          <w:b/>
        </w:rPr>
        <w:t>E. 1</w:t>
      </w:r>
    </w:p>
    <w:p>
      <w:r>
        <w:t>Selon l' art. 65 LACI , les assurés dont le placement est difficile et qui, accomplissant une initiation au travail dans une entreprise, reçoivent de ce fait un salaire réduit, peuvent bénéficier d'allocations d'initiation au travail lorsque: a. Ils remplissent la condition fixée à l'article 60, 1er alinéa, lettre b;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BGE 126 V 42 S. 45 D'autre part, bien que les assurés soient eux-mêmes titulaires du droit aux allocations d'initiation au travail, celles-ci sont versées par la caisse à l'employeur; ce dernier les verse à son tour à l'assuré avec le salaire convenu ( art. 90 al. 4 OACI ).</w:t>
      </w:r>
    </w:p>
    <w:p>
      <w:r>
        <w:rPr>
          <w:b/>
        </w:rPr>
        <w:t>E. 2</w:t>
      </w:r>
    </w:p>
    <w:p>
      <w:r>
        <w:t>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 art. 65 let . c LACI), fasse l'objet d'un contrat écrit ( art. 90 al. 3 OACI ). L'employeur peut ainsi être tenu à restituer les allocations perçues si les rapports de travail sont résiliés sans justes motifs avant l'échéance du délai indiqué par l'administration dans sa décision; cette restitution s'opère conformément à l' art. 95 al. 1 LACI (GERHARDS, Kommentar zum Arbeitslosenversicherungsgesetz, vol. II, n. 30 ad art. 65-67). Quant à la notion de justes motifs, elle est, dans le présent contexte, la même que celle définie à l' 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b) Selon l' art. 95 al. 1 LACI , la caisse est tenue d'exiger du bénéficiaire la restitution des prestations de l'assurance auxquelles il n'avait pas droit (première phrase). Si le bénéficiaire des prestations BGE 126 V 42 S. 46 était de bonne foi en les acceptant et si leur restitution devait entraîner des rigueurs particulières, on y renoncera, sur demande, en tout ou partie ( art. 95 al. 2 LACI ). En matière d'assurances sociales, la restitution de prestations suppose, en règle ordinaire, que soient remplies les conditions d'une reconsidération ou d'une révision procédurale de la décision par laquelle les prestations en cause ont été allouées (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 ATF 117 V 139 consid. 4b; PIERRE MOOR, Droit administratif, vol. II: Les actes administratifs et leur contrôle, Berne 1991, p. 48). En outre, une remise de l'obligation de restituer selon l' art. 95 al. 2 LACI est exclue, car le débiteur doit s'attendre à devoir rembourser les prestations en cas de non-respect des conditions fixées, ce qui ne lui permet pas d'invoquer sa bonne foi (RCC 1988 p. 550).</w:t>
      </w:r>
    </w:p>
    <w:p>
      <w:r>
        <w:rPr>
          <w:b/>
        </w:rPr>
        <w:t>E. 3</w:t>
      </w:r>
    </w:p>
    <w:p>
      <w:r>
        <w:t>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 art. 337 al. 2 CO ). D'après la jurisprudence, seul un manquement particulièrement grave du travailleur justifie son licenciement immédiat. Un tel manquement suppose que le travailleur ait BGE 126 V 42 S. 47 violé soit l'une de ses obligations au travail, soit son devoir de fidélité. Si le manquement est moins grave, il ne peut entraîner une résiliation immédiate que s'il a été répété malgré un avertissement ( ATF 121 III 472 consid. 4d et les arrêts cités). b) Dans le cas de J., l'employeur a invoqué des griefs d'ordre général - au demeurant contestés par l'intéressée - liés à la qualité du travail fourni. A l'évidence il ne s'agit pas de manquements pouvant justifier une résiliation immédiate. Quant au motif tiré des absences répétées de la travailleuse, il ne peut pas être retenu comme un juste motif de résiliation. A l'exception, semble-t-il, d'une brève absence motivée par le décès du frère de l'intéressée, les absences reprochées étaient dues à la maladie, soit un empêchement non fautif de travailler au sens de l' art. 324a al. 1 CO , qui ne saurait justifier le licenciement immédiat du travailleur ( art. 337 al. 3 CO ). En ce qui concerne K., l'employeur n'a formulé aucun reproche susceptible d'entrer dans les prévisions de l' art. 337 CO .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Le recours de droit administratif se révèle ainsi mal fondé.</w:t>
      </w:r>
    </w:p>
    <w:p>
      <w:r>
        <w:rPr>
          <w:b/>
        </w:rPr>
        <w:t>E. 4</w:t>
      </w:r>
    </w:p>
    <w:p>
      <w:r>
        <w:t>Vu la nature du litige, il n'y a pas lieu à perception de frais de justice ( art. 134 OJ ). La demande d'assistance judiciaire présentée par la recourante n'a ainsi d'objet que dans la mesure où elle tend à la prise en charge par la caisse du tribunal des honoraires de son mandataire. Cependant, d'après la jurisprudence relative à l' art. 152 OJ , l'assistance judiciaire ne peut en principe pas être accordée aux personnes morales. Celles-ci sont des entités juridiques qui n'ont pas besoin de pourvoir à leur entretien et à celui des proches. Elles ne peuvent être qu'insolvables, obérées ou manquer de liquidités ( ATF 119 Ia 339 consid. 4b). Une exception à cette règle (cf. ATF 119 Ia 340 consid. 4e) ne se justifie pas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