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139</w:t>
      </w:r>
    </w:p>
    <w:p>
      <w:r>
        <w:t>Bundesgericht (BGE), 2000-01-01, DE</w:t>
      </w:r>
    </w:p>
    <w:p>
      <w:r>
        <w:rPr>
          <w:b/>
        </w:rPr>
        <w:t xml:space="preserve">Quelle: </w:t>
      </w:r>
      <w:r>
        <w:t>https://mcp.opencaselaw.ch/entscheid/bge_BGE_126_V_139</w:t>
      </w:r>
    </w:p>
    <w:p>
      <w:r>
        <w:t>FR: ATF 126 V 139</w:t>
      </w:r>
    </w:p>
    <w:p>
      <w:r>
        <w:t>IT: DTF 126 V 139</w:t>
      </w:r>
    </w:p>
    <w:p>
      <w:pPr>
        <w:pStyle w:val="Heading2"/>
      </w:pPr>
      <w:r>
        <w:t>Regeste</w:t>
      </w:r>
    </w:p>
    <w:p>
      <w:r>
        <w:t>Regeste Art. 51 Abs. 1, Art. 52 Abs. 1, Art. 53 AVIG: Insolvenzentschädigung nach Stellung des Pfändungsbegehrens. - Gegenstand des durch die Stellung des Pfändungsbegehrens ausgelösten Entschädigungsanspruchs bilden nicht nur die im Pfändungsbegehren enthaltenen Forderungen, sondern sämtliche Lohnansprüche, welche die versicherte Person vor dem Stichtag gegenüber seinem Arbeitgeber ausstehend hatte. - Stammen die nach erfolgter Konkurseröffnung geltend gemachten Lohnansprüche aus der Zeit vor der Stellung des Pfändungsbegehrens, ist es rechtlich ausgeschlossen, diese zum Gegenstand der durch die Konkurseröffnung ausgelösten potenziellen Anspruchsberechtigung zu machen.</w:t>
      </w:r>
    </w:p>
    <w:p>
      <w:r>
        <w:t>Regeste Art. 51 al. 1, art. 52 al. 1, art. 53 LACI: Indemnité en cas d'insolvabilité après le dépôt de la réquisition de saisie. - Sont l'objet de la créance en indemnisation née ensuite du dépôt de la réquisition de saisie non seulement les créances mentionnées dans la réquisition mais toutes les créances de salaire que l'assuré pouvait faire valoir à l'encontre de l'employeur avant le jour déterminant. - Si les créances de salaire invoquées après l'ouverture de la faillite se rapportent à une période antérieure au dépôt de la réquisition de saisie, elles ne peuvent pas, du point de vue juridique, faire l'objet de la prétention éventuelle née ensuite de l'ouverture de la faillite.</w:t>
      </w:r>
    </w:p>
    <w:p>
      <w:r>
        <w:t>Regesto Art. 51 cpv. 1, art. 52 cpv. 1, art. 53 LADI: Indennità per insolvenza dopo la presentazione della domanda di pignoramento. - Oggetto del diritto all'indennità per insolvenza insorto a seguito della presentazione della domanda di pignoramento sono non solo le pretese menzionate nella domanda medesima, bensì tutti i crediti salariali che l'assicurato poteva far valere nei confronti del datore di lavoro prima del giorno determinante. - Se i crediti salariali fatti valere dopo la dichiarazione di fallimento si riferiscono a un periodo anteriore alla presentazione della domanda di pignoramento, essi non possono sotto il profilo giuridico essere oggetto dei diritti potenziali insorti a seguito della dichiarazione di fallimento.</w:t>
      </w:r>
    </w:p>
    <w:p>
      <w:pPr>
        <w:pStyle w:val="Heading2"/>
      </w:pPr>
      <w:r>
        <w:t>Erwägungen</w:t>
      </w:r>
    </w:p>
    <w:p>
      <w:r>
        <w:rPr>
          <w:b/>
        </w:rPr>
        <w:t>E. 3</w:t>
      </w:r>
    </w:p>
    <w:p>
      <w:r>
        <w:t>a) Die Vorinstanz begründet die angenommene Verwirkung der Anspruchsberechtigung damit, dass das Entschädigungsgesuch Lohnansprüche betreffe, die vor Stellung des Pfändungsbegehrens BGE 126 V 139 S. 140 bestanden hätten und dass solche Ansprüche nicht nochmals nach der Konkurseröffnung erhoben werden könnten. Sie verweist dabei zu Recht auf BGE 123 V 107 f. Erw. 2b, wo das Eidg. Versicherungsgericht erkannt hat, dass im Gegensatz zur früheren Regelung der Anspruch auf Insolvenzentschädigung bereits mit der Bewilligung der Nachlassstundung entsteht. Wird später über den Arbeitgeber der Konkurs eröffnet, so lebt ein im Zeitpunkt der Nachlassstundung entstandener, aber nicht oder nicht rechtzeitig geltend gemachter und damit verwirkter Insolvenzentschädigungsanspruch nicht wieder auf. Im genannten Urteil waren die nach der Nachlassstundung verspätet geltend gemachten Lohnansprüche und die nach der später erfolgten Konkurseröffnung (nochmals) erhobenen identisch. Das Eidg. Versicherungsgericht erachtete es daher nicht als zulässig, den mit einer ersten Verfügung bereits rechtskräftig verneinten Anspruch auf Insolvenzentschädigung zum Gegenstand eines zweiten Gesuches zu machen (siehe auch die in ARV 1998 Nr. 27 S. 151 f. veröffentlichte Erw. 3 des genannten Urteils). b) Im hier zu entscheidenden Fall liegen die Dinge mit Ausnahme des den Entschädigungsanspruch auslösenden Tatbestandes gleich. Während in BGE 123 V 106 eine Nachlassstundung den Anspruch eröffnete ( Art. 58 AVIG ), gründet dieser vorliegend auf der Stellung des Pfändungsbegehrens für Lohnforderungen gegen den Arbeitgeber ( Art. 51 Abs. 1 lit. c AVIG ). Bei der durch die Nachlassstundung eröffneten Anspruchsberechtigung waren sämtliche Lohnansprüche, welche der Versicherte vor der Nachlassstundung gegenüber seinem Arbeitgeber ausstehend hatte, zu berücksichtigen ( BGE 123 V 108 Erw. 2b). Nach dem klaren Wortlaut von Art. 51 Abs. 1 AVIG ("in diesem Zeitpunkt") deckt die Insolvenzentschädigung einzig vor der Konkurseröffnung oder vor der Einreichung des Pfändungsbegehrens entstandene Lohnforderungen (THOMAS NUSSBAUMER, Arbeitslosenversicherung, in: Schweizerisches Bundesverwaltungsrecht [SBVR], Bd. Soziale Sicherheit, Rz. 522 mit weiteren Hinweisen). Massgebender Stichtag ist vorliegend demnach das Datum der Einreichung des Pfändungsbegehrens. Wie bei der Nachlassstundung, wo Stichtag das Datum ihrer Bewilligung ist, bilden demzufolge Gegenstand des durch die Stellung des Pfändungsbegehrens ausgelösten Entschädigungsanspruchs sämtliche Lohnansprüche, welche der Versicherte vor dem Stichtag gegenüber seinem Arbeitgeber ausstehend hatte. Würde der Überlegung des Beschwerdeführers gefolgt, dass nur im Pfändungsbegehren enthaltene Forderungen durch die Insolvenzentschädigung BGE 126 V 139 S. 141 gedeckt sein könnten, würde ein Versicherter, dessen Arbeitgeber keinen weiteren Versicherungsfall auslöst, beispielsweise nicht in Konkurs fällt, für die zwischen der in Betreibung gesetzten Forderung und der Stellung des Pfändungsbegehrens entstandenen Lohnausstände überhaupt nie Insolvenzentschädigung beanspruchen können, was klar dem Sinn der gesetzlichen Regelung (Lohnausfallversicherung bei Zahlungsunfähigkeit des Arbeitgebers; vgl. BGE 114 V 58 Erw. 3c mit Hinweisen) widersprechen würde. Wenn der Arbeitgeber gegen die Betreibungsbemühungen des Arbeitnehmers opponiert, das Arbeitsverhältnis indessen noch nicht aufgelöst wird, wäre es im Übrigen sogar möglich, dass die Lohnforderung, für die ein Versicherter das Pfändungsbegehren gestellt hat, mehr als sechs Monate vor Beendigung des Arbeitsverhältnisses entstanden ist. Da die Insolvenzentschädigung Lohnforderungen für die letzten sechs Monate vor Beendigung des Arbeitsverhältnisses deckt ( Art. 52 Abs. 1 AVIG in der bis 31. August 1999 gültig gewesenen Fassung), würde die Lohnforderung, für die das erforderliche zwangsvollstreckungsrechtliche Stadium erreicht wird, nicht Gegenstand des Insolvenzentschädigungsanspruchs sein. Dieser Fall kann wegen der seit 1. September 1999 in Kraft stehenden Deckungsbeschränkung auf vier Monate sogar noch vermehrt eintreten. c) Es steht aktenmässig fest, dass die vom Beschwerdeführer geltend gemachte Insolvenzentschädigung sich ausschliesslich auf Forderungen bezieht, die vor der Stellung des Pfändungsbegehrens (24. Januar 1997) liegen. Der Beschwerdeführer hatte zwar nur ein den Lohn für Juni 1996 betreffendes Pfändungsbegehren gestellt. Nach dem Pfändungsvollzug hätte er indessen nach dem in Erw. 3b Gesagten und entgegen seinen Ausführungen in der Verwaltungsgerichtsbeschwerde nicht nur für diesen Lohn ein Insolvenzentschädigungsgesuch stellen können (und müssen), sondern für sämtliche ausstehenden Lohnforderungen für die letzten sechs Monate des (bis 31. August 1996 dauernden) Arbeitsverhältnisses ( Art. 52 Abs. 1 AVIG in der bis 31. August 1999 gültig gewesenen Fassung). d) Wohl wäre es grundsätzlich möglich, dass die spätere Konkurseröffnung einen neuen Versicherungsfall darstellen kann (vgl. BGE 123 V 108 Erw. 2b). Da indessen aus den Akten klar hervorgeht, dass die am 19. November 1997 und damit nach erfolgter Konkurseröffnung (14. Oktober 1997) geltend gemachten Lohnansprüche aus der Zeit vor der Stellung des Pfändungsbegehrens stammen, ist es rechtlich ausgeschlossen, diese Lohnansprüche zum Gegenstand BGE 126 V 139 S. 142 der nun durch die Konkurseröffnung ausgelösten potenziellen Anspruchsberechtigung zu machen. e) Soweit der Beschwerdeführer einwendet, es wäre ihm mangels gerichtlicher Abklärung über den Bestand der Lohnforderung nicht möglich gewesen, den vorliegend zu beurteilenden Insolvenzentschädigungsanspruch rechtzeitig (nach Pfändungsvollzug) zu stellen, übersieht er, dass nach Art. 74 AVIV die Lohnforderung lediglich glaubhaft zu machen ist. Dafür reichen im Einzelfall beispielsweise Verdienstangaben in schriftlichen Arbeitsverträgen, frühere Lohnabrechnungen, die Schuldanerkennung des früheren Arbeitgebers oder die Bescheinigung des Konkurs- oder Betreibungsamtes aus (NUSSBAUMER, a.a.O., Rz. 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