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19</w:t>
      </w:r>
    </w:p>
    <w:p>
      <w:r>
        <w:t>Bundesgericht (BGE), 2000-01-01, DE</w:t>
      </w:r>
    </w:p>
    <w:p>
      <w:r>
        <w:rPr>
          <w:b/>
        </w:rPr>
        <w:t xml:space="preserve">Quelle: </w:t>
      </w:r>
      <w:r>
        <w:t>https://mcp.opencaselaw.ch/entscheid/bge_BGE_126_I_19</w:t>
      </w:r>
    </w:p>
    <w:p>
      <w:r>
        <w:t>FR: ATF 126 I 19</w:t>
      </w:r>
    </w:p>
    <w:p>
      <w:r>
        <w:t>IT: DTF 126 I 19</w:t>
      </w:r>
    </w:p>
    <w:p>
      <w:pPr>
        <w:pStyle w:val="Heading2"/>
      </w:pPr>
      <w:r>
        <w:t>Regeste</w:t>
      </w:r>
    </w:p>
    <w:p>
      <w:r>
        <w:t>Regeste Anspruch auf rechtliches Gehör (Art. 4 aBV, Art. 29 Abs. 2 BV); von der Anklage abweichende rechtliche Würdigung im Strafurteil. Direkt gestützt auf den Anspruch auf rechtliches Gehör hat ein Angeklagter Anspruch darauf, zu einer von der Anklage abweichenden rechtlichen Würdigung des ihm vorgeworfenen Sachverhalts Stellung nehmen zu können, wenn eine schärfere Strafe droht (E. 2c/aa; Bestätigung der Rechtsprechung); Gleiches gilt, wenn der Betroffene wegen eines anderen Straftatbestands als in der Anklage beantragt verurteilt werden soll und er nicht mit der neuen Würdigung rechnen musste, es sei denn, eine Anhörung hätte keine Auswirkung auf die Ausübung seiner Verteidigungsrechte haben können (E. 2d/bb; Präzisierung der Rechtsprechung). Eine Bestrafung wegen Verletzung einer anderen Verkehrsregel ist eine Verurteilung wegen eines anderen Straftatbestands (E. 2d/aa). Damit musste der Angeklagte im vorliegenden Fall nicht rechnen und dies hatte Auswirkungen auf die Ausübung seiner Verteidigungsrechte (E. 2e).</w:t>
      </w:r>
    </w:p>
    <w:p>
      <w:r>
        <w:t>Regeste Droit d'être entendu (art. 4 aCst., art. 29 al. 2 Cst.); qualification juridique retenue dans un jugement pénal qui s'écarte de l'acte d'accusation. Lorsqu'il est menacé d'une peine plus sévère, l'accusé peut déduire directement du droit d'être entendu le droit de prendre position sur une qualification juridique de l'état de fait retenu à son encontre qui s'écarte de l'acte d'accusation (consid. 2c/aa; confirmation de la jurisprudence). Il en va de même lorsque l'intéressé pourrait être condamné à raison d'une autre infraction que celle visée dans l'acte d'accusation et qu'il ne pouvait pas s'attendre à la nouvelle qualification, sauf si sa détermination n'aurait pu avoir aucune incidence sur l'exercice de ses droits de défense (consid. 2d/bb; précision de la jurisprudence). Une condamnation pour violation d'une autre règle de la circulation est une condamnation pour une autre infraction (consid. 2d/aa). En l'espèce, l'accusé ne devait pas s'attendre à la nouvelle qualification, et l'impossibilité dans laquelle il s'est trouvé de se déterminer sur ce point a eu des effets sur l'exercice de ses droits de défense (consid. 2e).</w:t>
      </w:r>
    </w:p>
    <w:p>
      <w:r>
        <w:t>Regesto Diritto di essere sentito (art. 4 vCost., art. 29 cpv. 2 Cost.); qualificazione giuridica nel giudizio penale diversa dall'atto di accusa. Qualora si prospetti una pena più severa, l'accusato può dedurre direttamente dal diritto di essere sentito il diritto di esprimersi su una qualificazione giuridica della fattispecie diversa dall'atto di accusa (consid. 2c/aa; conferma della giurisprudenza). Lo stesso vale quando l'interessato deve essere condannato per un reato diverso da quello indicato nell'atto di accusa ed egli non doveva prevedere la nuova qualificazione giuridica; è eccettuato il caso ove una presa di posizione non avrebbe avuto effetto alcuno sull'esercizio dei suoi diritti di difesa (consid. 2d/bb; precisazione della giurisprudenza). Una condanna per violazione di un'altra norma della circolazione stradale è una condanna per un altro reato (consid. 2d/aa). In concreto, l'accusato non doveva prevedere la nuova qualificazione giuridica e ciò ha avuto effetti sull'esercizio dei suoi diritti di difesa (consid. 2e).</w:t>
      </w:r>
    </w:p>
    <w:p>
      <w:pPr>
        <w:pStyle w:val="Heading2"/>
      </w:pPr>
      <w:r>
        <w:t>Erwägungen</w:t>
      </w:r>
    </w:p>
    <w:p>
      <w:r>
        <w:rPr>
          <w:b/>
        </w:rPr>
        <w:t>E. 2</w:t>
      </w:r>
    </w:p>
    <w:p>
      <w:r>
        <w:t>Der Beschwerdeführer rügt, das angefochtene Urteil verletze den Anklagegrundsatz. Er sei wegen Fahrens mit nicht angemessener Geschwindigkeit verurteilt worden, obwohl der Staatsanwalt ausdrücklich festgehalten habe, dieser Vorwurf könne ihm nicht gemacht werden, und er nie Anlass gehabt habe, sich zu diesem Vorwurf zu äussern. a) 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(SR 0.101) hat der Angeschuldigte Anspruch darauf, in möglichst kurzer Frist über die Art und den Grund der gegen ihn erhobenen Beschuldigung in Kenntnis gesetzt zu werden. Diese Angaben schliessen es allerdings nicht aus, dass eine spätere Verurteilung wegen eines gleichartigen oder geringfügigeren Delikts erfolgt. Das Gericht ist an den in der Anklage wiedergegebenen Sachverhalt gebunden, nicht aber an dessen rechtliche Würdigung durch die Anklagebehörde (vgl. NIKLAUS SCHMID, Strafprozessrecht, 3. Auflage, 1997, S. 44; ARMAND MEYER, Die Bindung des Strafrichters an die eingeklagte Tat (Tatidentität), 1972, S. 10 f.; so auch ausdrücklich Art. 124 Abs. 1 der Strafprozessordnung des Kantons Obwalden vom 9. März 1973 [StPO/OW; LB XIII, 185]). Ein Anspruch des Betroffenen, vor Erlass eines belastenden Entscheids angehört zu werden, besteht jedoch auch unabhängig vom Anklagegrundsatz. Dieser Anspruch auf rechtliches Gehör floss bisher aus Art. 4 aBV und ist jetzt in Art. 29 Abs. 2 der am 1. Januar 2000 in Kraft getretenen neuen Bundesverfassung vom 18. April BGE 126 I 19 S. 22 1999 (BV) ausdrücklich gewährleistet. Sein Umfang bestimmt sich zunächst nach den kantonalen Verfahrensvorschriften, deren Auslegung und Handhabung das Bundesgericht unter dem Gesichtswinkel der Willkür prüft. Überdies greifen die unmittelbar aus der BV folgenden bundesrechtlichen Minimalgarantien Platz; ob diese verletzt sind, beurteilt das Bundesgericht mit freier Kognition. b) Art. 124 Abs. 2 StPO /OW sieht vor, dass eine Verurteilung des Angeklagten aufgrund schärferer Strafbestimmungen als der in der Anklageschrift angerufenen nur erfolgen darf, wenn der Angeklagte vorher darauf hingewiesen worden ist und die Gelegenheit erhalten hat, sich dazu zu äussern. Das Obergericht hält im Ergebnis zu Recht fest, dass diese Bestimmung nicht auf die Verurteilung des Beschwerdeführers anwendbar sei. Er wurde wie von der Staatsanwaltschaft beantragt nach Art. 90 Abs. 1 SVG verurteilt, und zwar wie schon vom Kantonsgerichtspräsidenten zu einer Busse von Fr. 100.-. Auch wiegt eine Verletzung von Art. 32 Abs. 1 SVG , wegen der er schliesslich bestraft wurde, nicht schwerer als eine solche von Art. 26 SVG oder Art. 9 Abs. 2 VRV , die vor dem Kantonsgerichtspräsidenten und nach der Anklageschrift zur Diskussion standen. c) Es fragt sich somit, ob ein Angeklagter direkt aufgrund des Anspruchs auf rechtliches Gehör ein Anrecht hat, vor einer Verurteilung gemäss anderer als der von der Anklagebehörde genannten Strafbestimmungen zu dieser Veränderung Stellung nehmen zu können. aa) Dies ist nach der bundesgerichtlichen Rechtsprechung zunächst dann der Fall, wenn das Gericht den eingeklagten Sachverhalt unter eine schärfere Strafbestimmung oder zusätzlich unter einen weiteren Straftatbestand subsumieren und dies straferhöhend berücksichtigen will (vgl. unveröffentlichter Entscheid des Bundesgerichts vom 5. Juli 1985 i.S. S., E. 3). In BGE 116 Ia 455 E. 3cc S. 458 hat das Bundesgericht darüber hinaus verlangt, ein Angeschuldigter müsse zur beabsichtigten rechtlichen Würdigung angehört werden, wenn sich das Gericht auf juristische Argumente zu stützen gedenke, die ihm nicht bekannt seien und mit deren Heranziehen er nicht rechnen musste. Wieweit sich dies aus dem Anklagegrundsatz ergibt, wurde offen gelassen, da es jedenfalls aus dem Anspruch auf rechtliches Gehör hergeleitet werden könne (vgl. allgemein zum Anspruch auf rechtliches Gehör zu Rechtsfragen BGE 124 I 49 E. 3c S. 52; BGE 123 I 63 E. 2d S. 69 mit Hinweis). BGE 126 I 19 S. 23 bb) Einen Anspruch des Angeschuldigten, vor einer Änderung der rechtlichen Würdigung seines Verhaltens angehört zu werden, hat auch die Europäische Kommission für Menschenrechte (EKMR) auf Grund von Art. 6 Ziff. 3 lit. a EMRK in einem Fall bejaht, der dann vor dem EGMR gütlich beigelegt wurde (vgl. Bericht der EKMR vom 16. März 1989 i.S. Chichlian und Ekindjian c. Frankreich, Serie A, Band 162 B, Beilage, Ziff. 64 f.). Zahlreiche Strafprozessordnungen sehen dies ebenfalls ausdrücklich vor (vgl. etwa Art. 170 BStP [SR 312.0], Art. 148 Abs. 2 des Militärstrafprozesses vom 23. März 1979 [MStP; SR 322.1]; Art. 168 Abs. 2 StPO /SG, Art. 302 StrV/BE, § 163 Abs. 2 StPO /AG, § 183 StPO /LU, § 96 Abs. 3 StPO /SZ, § 116 StPO /SO, § 170 Abs. 4 StPO /BL, § 127 Abs. 2 StPO /BS; Art. 135 Abs. 1 StPO /VS, Art. 354 Abs. 1 StPO /VD, Art. 211 Abs. 1 StPO /NE, Art. 250 Abs. 1 StPO /TI; ebenso § 265 Abs. 1 der deutschen, § 262 der österreichischen und Art. 423 Abs. 1 der italienischen Strafprozessordnung). Nach anderen Strafprozessordnungen ist wie nach derjenigen des Kantons Obwalden dem Angeklagten nur dann Gelegenheit zur Stellungnahme zu geben, wenn eine Verurteilung auf Grund "schärferer Strafbestimmungen" als der in der Anklage angerufenen erfolgen soll (vgl. etwa § 185 Abs. 2 StPO /ZH, § 276 Abs. 2 StPO /SH, Art. 129 Abs. 2 StPO /GL, Art. 125 Abs. 4 StPO /GR, Art. 166 Abs. 2 StPO /AR). In der kantonalen Rechtsprechung dazu und der Lehre ist jedoch ebenfalls anerkannt, dass auf Grund des Anspruchs des Angeklagten auf rechtliches Gehör eine Anhörung auch stattzufinden habe, wenn die neu zur Anwendung vorgesehene Bestimmung keine höhere Strafdrohung vorsehe (vgl. JÖRG REHBERG, Der Anklagegrundsatz und das Fahrlässigkeitsdelikt, in: Festschrift 125 Jahre Kassationsgericht des Kantons Zürich, 2000, S. 408, Fn. 3; Entscheid des Zürcher Kassationsgerichts vom 3. September 1985, ZR 84 [1985] Nr. 134 und implizit dessen Entscheid vom 11. Januar 1985, a.a.O., Nr. 74). d) aa) Im vorliegenden Fall wurde das Verhalten des Beschwerdeführers unter einen anderen Tatbestand subsumiert als gemäss der Anklage, ohne dass die veränderte obergerichtliche Würdigung zu einer Erhöhung der Strafe geführt hätte (vgl. vorne E. 2b). Zwar erfolgte die Verurteilung wie von der Staatsanwaltschaft beantragt gemäss Art. 90 Abs. 1 SVG . Bei dieser Bestimmung handelt es sich jedoch um eine Blankettstrafnorm, so dass die durch sie strafbewehrte Verkehrsregel die rechtliche Subsumtion des Sachverhalts darstellt (ähnlich die EKMR in ihrem Bericht zum Fall Chichlian und Ekindjian, a.a.O., Ziff. 58). Diese verletzte Verkehrsregel ist BGE 126 I 19 S. 24 nach dem obergerichtlichen Urteil eine andere als gemäss Anklage und nach dem Urteil des Kantonsgerichtspräsidenten. Verschiedene Verkehrsverstösse sind in der Regel keine gleichartigen Erscheinungsformen derselben Tat (vgl. zur Rechtslage in Deutschland, wo dies nach § 265 StPO einen Hinweis vor einer Verurteilung wegen eines anderen Verkehrsverstosses notwendig macht, PETER RIESS in: LÖWE-ROSENBERG, Die Strafprozessordnung und das Gerichtsverfassungsgesetz, 24. Auflage, 1987, N. 39 zu § 265, mit Hinweisen auf die Rechtsprechung). bb) Wurde der Beschwerdeführer auf Grund eines anderen Straftatbestands als in der Anklage beantragt verurteilt, ist zu prüfen, ob er mit der beabsichtigten neuen rechtlichen Würdigung rechnen musste (vgl. vorne E. 2c/aa; BGE 116 Ia 455 E. 3cc S. 458). Dies muss auf Grund aller Umstände des konkreten Falles beurteilt werden (vgl. auch BGE 111 Ia 101 E. 2b S. 103 f.). Musste er nicht damit rechnen, ist das angefochtene Urteil grundsätzlich wegen Verletzung des Anspruchs auf rechtliches Gehör aufzuheben. Ausnahmsweise kann eine Verweigerung des rechtlichen Gehörs verneint werden, wenn eine Anhörung zur veränderten rechtlichen Würdigung überhaupt keine Auswirkungen auf die Ausübung seiner Verteidigungsrechte haben konnte. Hingegen ist die Möglichkeit zur Stellungnahme wegen der formellen Natur des Anspruchs auf rechtliches Gehör (vgl. BGE 125 I 113 E. 3 S. 118) unabhängig davon zu gewähren, ob die Argumente, die der Angeklagte hätte vorbringen können, das Strafurteil voraussichtlich geändert hätten oder nicht. e) aa) Einerseits war dem Beschwerdeführer ganz zu Beginn des Strafverfahrens, im Strafbefehl, schon einmal vorgeworfen worden, seine Geschwindigkeit sei unangemessen gewesen. Der schliesslich ausschlaggebende Vorwurf war ihm also bekannt. Dieser wurde jedoch im weiteren Verlauf des Verfahrens nicht einfach zugunsten präziserer Qualifikationen aufgegeben, sondern die Staatsanwaltschaft hielt ausdrücklich fest, dem Beschwerdeführer könne keine unangemessene Geschwindigkeit vorgeworfen werden. Er sei in der Lage gewesen, sein Fahrzeug innert halber Sichtweite anzuhalten. Es ist auch nicht ersichtlich, dass die Geschwindigkeit, mit der er fuhr, bei der Anschlussappellation und ihrer Begründung in der Verhandlung vor Obergericht irgend eine Rolle gespielt hätte. Die Staatsanwaltschaft warf ihm ja vor, dass er überhaupt auf die Brücke gefahren sei und nicht vor ihr gewartet habe bzw. zu einer Ausweichstelle zurückgefahren sei. Der Beschwerdeführer musste somit BGE 126 I 19 S. 25 nicht damit rechnen, dass ihm vorgeworfen würde, er sei zu schnell gefahren. bb) Wenn der Beschwerdeführer auf die Möglichkeit hingewiesen worden wäre, dass ihm eine unangemessene Geschwindigkeit vorgeworfen werden könnte, hätte er auch tatsächlich zusätzliche Argumente zu seiner Verteidigung vorbringen können. Er hätte zu den vom Obergericht herbeigezogenen Umständen und Überlegungen, warum diese Geschwindigkeit unangemessen gewesen sei, Stellung nehmen können. So hätte er vorbringen können, dass sein Fahrzeug gemäss der Anklage und dem Urteil des Kantonsgerichtspräsidenten zum Kollisionszeitpunkt stillgestanden sei, was nachträglich zeige, dass seine Geschwindigkeit nicht unangemessen gewesen sei. Wenn er gewusst hätte, dass seine Geschwindigkeit zu bewerten war, hätte er auch darauf hinweisen können, dass in der Anklage berechnet und ausgeführt werde, er habe auf halbe Sichtweite anhalten können. Er hätte jedenfalls seine Auffassung über die Sichtweite vorbringen und entsprechende Beweisanträge stellen können. f) Zusammenfassend musste der Beschwerdeführer in der konkreten Situation seines Strafverfahrens nicht mit einer Verurteilung wegen unangemessener Geschwindigkeit rechnen, und die unterlassene Anhörung hatte Auswirkungen auf seine Verteidigungsrechte. Daher verstiess es gegen seinen Anspruch auf rechtliches Gehör, dass ihm das Obergericht keine Gelegenheit gab, zur in Aussicht genommenen neuen rechtlichen Qualifikation des ihm vorgeworfenen Sachverhalts Stellung zu nehmen. Die Beschwerde ist somit gutzuheissen und das angefochtene Urteil aufzuheben. Daher erübrigt sich ein Eingehen auf die übrigen Rügen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