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168</w:t>
      </w:r>
    </w:p>
    <w:p>
      <w:r>
        <w:t>Bundesgericht (BGE), 2000-01-01, FR</w:t>
      </w:r>
    </w:p>
    <w:p>
      <w:r>
        <w:rPr>
          <w:b/>
        </w:rPr>
        <w:t xml:space="preserve">Quelle: </w:t>
      </w:r>
      <w:r>
        <w:t>https://mcp.opencaselaw.ch/entscheid/bge_BGE_126_I_168</w:t>
      </w:r>
    </w:p>
    <w:p>
      <w:r>
        <w:t>FR: ATF 126 I 168</w:t>
      </w:r>
    </w:p>
    <w:p>
      <w:r>
        <w:t>IT: DTF 126 I 168</w:t>
      </w:r>
    </w:p>
    <w:p>
      <w:pPr>
        <w:pStyle w:val="Heading2"/>
      </w:pPr>
      <w:r>
        <w:t>Regeste</w:t>
      </w:r>
    </w:p>
    <w:p>
      <w:r>
        <w:t>Regeste Art. 58 aBV; Art. 6 Ziff. 1 EMRK; richterliche Unbefangenheit; Ausstand. Der Scheidungsrichter, der einen Zeugen einvernommen hat, gilt nicht als unbefangen in einem späteren Strafverfahren gegen diesen Zeugen wegen falschen Zeugnisses (E. 2 - 4).</w:t>
      </w:r>
    </w:p>
    <w:p>
      <w:r>
        <w:t>Regeste Art. 58 aCst., art. 6 par. 1 CEDH; impartialité du juge; récusation. Le juge du divorce ne peut juger ensuite, en tant que juge pénal, de l'accusation de faux témoignage portée contre un témoin qu'il a entendu lors de la procédure de divorce (consid. 2 - 4).</w:t>
      </w:r>
    </w:p>
    <w:p>
      <w:r>
        <w:t>Regesto Art. 58 vCost., art. 6 n. 1 CEDU; imparzialità del giudice; ricusazione. Il giudice del divorzio non può successivamente statuire come giudice penale sull'accusa di falsa testimonianza presentata contro un teste da lui interrogato nella procedura di divorzio (consid. 2 - 4).</w:t>
      </w:r>
    </w:p>
    <w:p>
      <w:pPr>
        <w:pStyle w:val="Heading2"/>
      </w:pPr>
      <w:r>
        <w:t>Erwägungen</w:t>
      </w:r>
    </w:p>
    <w:p>
      <w:r>
        <w:rPr>
          <w:b/>
        </w:rPr>
        <w:t>E. 2</w:t>
      </w:r>
    </w:p>
    <w:p>
      <w:r>
        <w:t>Le Président du Tribunal cantonal a considéré que l'audition de la recourante par le magistrat intimé dans le cadre de la procédure de divorce n'était pas de nature à faire naître un doute quant à son impartialité dans l'affaire pénale. Dans la procédure de divorce, le juge ne se serait pas fait d'opinion sur sa culpabilité, il n'aurait agi qu'en simple auditeur. a) La garantie d'un tribunal indépendant et impartial instituée par l' art. 6 par. 1 CEDH (RS 0.101), à l'instar de la protection conférée par l' art. 58 aCst. ,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ATF 124 I 255 consid. 4a p. 261; ATF 120 Ia 184 E. 2 S. 186 f.). 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119 Ia 221 consid. 3 p. 226 et les arrêts cités; cf. aussi ATF 120 Ia 82 consid. 6 p. 83 ss). BGE 126 I 168 S. 170 b) La Constitution fédérale du 18 avril 1999 (Cst.), entrée en vigueur le 1er janvier 2000, n'ayant pas amené de changement à l'égard du droit à un tribunal indépendant et impartial (cf. art. 30 al. 1 Cst. ; Bull. off. 1998, Réforme de la Constitution fédérale, CN p. 234; Bull. off. 1998, Réforme de la Constitution fédérale, CE p. 50), c'est à la lumière de la jurisprudence rappelée ci-dessus qu'il convient d'examiner le recours.</w:t>
      </w:r>
    </w:p>
    <w:p>
      <w:r>
        <w:rPr>
          <w:b/>
        </w:rPr>
        <w:t>E. 3</w:t>
      </w:r>
    </w:p>
    <w:p>
      <w:r>
        <w:t>La recourante fait valoir que l'arrêt incriminé viole l' art. 33 al. 1 let. b CPP /VS, selon lequel un juge doit se récuser dans une affaire en laquelle il a agi précédemment à un autre titre. a) Une décision est arbitraire selon la jurisprudence portant sur l' art. 4 aCst.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(pour l' art. 4 aCst. : ATF 125 I 161 consid. 2a p. 168 et la jurisprudence citée). La nouvelle Constitution n'a pas amené de changements à cet égard (cf. art. 8 et 9 Cst. ). b) Le Président du Tribunal cantonal a indiqué que la jurisprudence cantonale interprète la notion "d'affaire" de manière restrictive, et en a déduit qu'ici, le divorce et la procédure pénale représentaient deux affaires distinctes, de sorte que l' art. 33 al. 1 let. b CPP /VS n'était pas applicable. Cette interprétation est soutenable, une cause civile pouvant légitimement être distinguée d'une cause pénale. La disposition en question peut en outre être interprétée dans le sens qu'elle ne règle pas les cas où, comme ici, le magistrat récusé agit deux fois au même titre, c'est-à-dire en tant que juge.</w:t>
      </w:r>
    </w:p>
    <w:p>
      <w:r>
        <w:rPr>
          <w:b/>
        </w:rPr>
        <w:t>E. 4</w:t>
      </w:r>
    </w:p>
    <w:p>
      <w:r>
        <w:t>L'arrêt attaqué viole en revanche le droit de la recourante à un juge impartial tel qu'il est garanti par la Constitution fédérale. a) Tout d'abord, les moyens de défense de la recourante se trouvent réduits par l'union personnelle du juge de divorce et du juge pénal. Comme le fait valoir la recourante, le magistrat récusé a pris une part active aux faits qui doivent être éclaircis et jugés dans la procédure pénale. Par conséquent, elle ne peut, par exemple, remettre en cause la forme de l'audition elle-même, sans faire de reproches indirects au magistrat chargé de l'affaire. BGE 126 I 168 S. 171 Par ailleurs, le juge de divorce ne peut être comparé à un "auditeur" neutre, comme le soutient l'arrêt attaqué, puisqu'il recueille non seulement les témoignages, mais statue en plus - indirectement, dans le cadre de l'appréciation des preuves - sur leur véracité. Enfin, la recourante se voit jugée par la personne même qui a recueilli sa déposition. S'agissant d'un délit contre l'administration de la justice, le magistrat aux dépens duquel le faux témoignage aurait été commis se trouve dans une position proche de celle d'une victime. Il est donc légitime que la recourante ait des doutes concernant la capacité du juge intimé à apprécier de manière indépendante et impartiale sa culpabilité. Dans ces conditions, il est inutile d'examiner le rôle des faits nouveaux remettant en question l'appréciation par le juge de divorce du témoignage de la recourante - la recourante reconnaît que sa déposition ne correspondait pas à la vérité -, et de comparer les questions tranchées par le juge de divorce à celles qui se posent dans la procédure pénale. La récusation du magistrat intimé s'impose d'autant plus qu'il statue comme juge unique, et non comme membre d'un tribunal (cf. ATF 114 Ia 143 consid. 7b p. 153). b) Le cas présent n'est pas comparable à celui qui a donné lieu à l'arrêt non publié du 16 février 1998 (1P.562/1998), dans lequel le Tribunal fédéral a constaté que le juge de divorce qui avait ordonné des mesures provisoires pouvait, sans violer le droit à un juge impartial, juger de l'accusation d'insoumission à celles-ci ( art. 292 CP ); en effet, dans ce dernier cas, les faits reprochés s'étaient produits après la procédure dans laquelle le magistrat avait agi, et il n'y avait pris aucune part active. Le cas présent diffère également de celui publié aux ATF 116 Ia 387 ss, où le Tribunal fédéral est arrivé à la conclusion qu'un magistrat pouvait statuer sur la détention du prévenu, puis participer à la décision sur la demande d'indemnité relative à cette détention (cf. aussi ATF 119 Ia 221 consid. 2 p. 223 ss). Le fait que d'autres instances jugent différemment de la légitimité de la détention n'est pas susceptible, objectivement, de faire naître un conflit d'intérêts. Sinon, les membres de chaque tribunal devant prendre une nouvelle décision suite à l'admission d'un moyen de droit par une instance judiciaire supérieure devraient toujours se récuser.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