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95</w:t>
      </w:r>
    </w:p>
    <w:p>
      <w:r>
        <w:t>Bundesgericht (BGE), 2000-01-01, FR</w:t>
      </w:r>
    </w:p>
    <w:p>
      <w:r>
        <w:rPr>
          <w:b/>
        </w:rPr>
        <w:t xml:space="preserve">Quelle: </w:t>
      </w:r>
      <w:r>
        <w:t>https://mcp.opencaselaw.ch/entscheid/bge_BGE_126_IV_95</w:t>
      </w:r>
    </w:p>
    <w:p>
      <w:r>
        <w:t>FR: ATF 126 IV 95</w:t>
      </w:r>
    </w:p>
    <w:p>
      <w:r>
        <w:t>IT: DTF 126 IV 95</w:t>
      </w:r>
    </w:p>
    <w:p>
      <w:pPr>
        <w:pStyle w:val="Heading2"/>
      </w:pPr>
      <w:r>
        <w:t>Regeste</w:t>
      </w:r>
    </w:p>
    <w:p>
      <w:r>
        <w:t>Regeste Art. 268 Ziff. 1 BStP. Die Nichtigkeitsbeschwerde ans Bundesgericht ist zulässig gegen ein Urteil eines Waadtländer Bezirksgerichtspräsidenten, der im Berufungsverfahren einen Bussenbescheid einer kommunalen Polizeikommission zu beurteilen hatte (E. 1). Art. 1, 6 Abs. 2 und Art. 7 OBG; Zahlungsart einer Ordnungsbusse. Das Zahlen einer Ordnungsbusse von Fr. 120.- mittels 107 Einzahlungsscheinen widerspricht dem gesetzlichen Ziel, weil es unverhältnismässig hohe Kosten verursacht, und ist demnach unzulässig (E. 2).</w:t>
      </w:r>
    </w:p>
    <w:p>
      <w:r>
        <w:t>Regeste Art. 268 ch. 1 PPF. Le pourvoi en nullité au Tribunal fédéral est recevable contre le jugement rendu par le président d'un tribunal de district vaudois statuant sur l'appel contre une amende prononcée en première instance par la commission de police d'une commune (consid. 1). Art. 1er, 6 al. 1 et 7 LAO. Mode de paiement d'une amende d'ordre. Le paiement d'une amende d'ordre de 120 fr. au moyen de 107 bulletins de versement occasionnant des frais disproportionnés contrevient au but de la loi; il n'est dès lors pas valable (consid. 2).</w:t>
      </w:r>
    </w:p>
    <w:p>
      <w:r>
        <w:t>Regesto Art. 268 n. 1 PP. Il ricorso per cassazione al Tribunale federale è ammissibile contro la sentenza emanata dal presidente di un tribunale di distretto vodese che decide su ricorso contro una multa pronunciata in prima istanza dalla commissione di polizia di un comune (consid. 1). Art. 1°, 6 cpv. 1 e 7 LMD. Modalità di pagamento di una multa disciplinare. Chi paga una multa disciplinare di 120 fr. per mezzo di 107 polizze di versamento e causa delle spese sproporzionate, contravviene allo scopo perseguito dalla legge; pertanto, siffatto pagamento non è valido (consid. 2).</w:t>
      </w:r>
    </w:p>
    <w:p>
      <w:pPr>
        <w:pStyle w:val="Heading2"/>
      </w:pPr>
      <w:r>
        <w:t>Erwägungen</w:t>
      </w:r>
    </w:p>
    <w:p>
      <w:r>
        <w:rPr>
          <w:b/>
        </w:rPr>
        <w:t>E. 1</w:t>
      </w:r>
    </w:p>
    <w:p>
      <w:r>
        <w:t>a) Aux termes de l' art. 268 ch. 1 PPF (RS 312.0), le pourvoi en nullité est recevable contre les jugements qui ne peuvent pas donner lieu à un recours de droit cantonal pour violation du droit fédéral. Font exception les jugements des tribunaux inférieurs statuant en instance cantonale unique. Selon la jurisprudence, il peut y avoir une instance cantonale unique même lorsque l'affaire a déjà fait l'objet, dans un premier temps, d'un prononcé émanant d'une autorité inférieure. Le caractère provisoire de certains de ces prononcés, réduits à néant ou transformés en simple acte d'accusation par l'opposition du justiciable, a conduit le Tribunal fédéral à la conclusion qu'il ne s'agissait pas d'une décision de première instance; ainsi, le jugement du tribunal inférieur statuant dans un second temps a été considéré comme un jugement émanant d'une instance cantonale unique au sens de l' art. 268 ch. 1 PPF ( ATF 117 IV 84 consid. 1b et la jurisprudence citée). Au contraire, en présence d'un prononcé d'amende émanant d'une autorité administrative susceptible d'appel devant un juge, le Tribunal fédéral a considéré que l'instance d'appel ne statuait pas en instance cantonale unique au sens de l' art. 268 ch. 1 PPF . Dès lors, il a été admis que le pourvoi en nullité au Tribunal fédéral est recevable contre le jugement rendu par un juge instructeur valaisan statuant sur un recours contre la condamnation à une amende prononcée en première instance par une autorité administrative; celle-ci était le Chef du Service cantonal des automobiles ( ATF 117 IV 84 consid. 1c et d). b) En l'espèce, le recourant a été condamné dans un premier temps par la commune, sans citation (art. 24 LSM). Il a fait opposition puis il a été entendu par la Commission de police (art. 25 ss LSM). Cette autorité l'a condamné. Ensuite, il a saisi le Tribunal de police d'un appel (art. 41 LSM). Ce tribunal a entendu l'appelant et l'a condamné; son jugement sur appel est définitif et exécutoire (art. 54 LSM). Il n'y a pas de recours cantonal contre ce jugement. BGE 126 IV 95 S. 98 Dans ces circonstances, on doit considérer que la sentence municipale, rendue après une audience où le condamné était présent, n'a pas un caractère provisoire au sens de la jurisprudence précitée; elle constitue un jugement de première instance bien qu'elle émane d'une autorité administrative ou exécutive communale. Dès lors, le Tribunal de police - tribunal inférieur - a statué sur l'appel en seconde instance cantonale, non pas en instance cantonale unique.&gt; Ainsi, le pourvoi en nullité au Tribunal fédéral est à cet égard recevable.</w:t>
      </w:r>
    </w:p>
    <w:p>
      <w:r>
        <w:rPr>
          <w:b/>
        </w:rPr>
        <w:t>E. 2</w:t>
      </w:r>
    </w:p>
    <w:p>
      <w:r>
        <w:t>a) Sous le titre "principe", l' art. 1er al. 1 LAO dispose que les contraventions aux prescriptions fédérales sur la circulation routière peuvent être réprimées par une amende d'ordre infligée selon la procédure simplifiée prévue par la LAO. La volonté du législateur est clairement de simplifier la procédure dans ce domaine. La simplification est apportée notamment par la faculté laissée au contrevenant de payer l'amende immédiatement ou dans les 30 jours ( art. 6 al. 1 LAO ) et par le fait de ne pas percevoir de frais - art. 7 LAO . Sur ce dernier point, RUSCONI précise que la Commission permanente de la circulation routière avait recommandé de fixer les amendes de telle manière que les dépenses de la police soient comprises dans leur montant (RUSCONI, Code de la circulation routière, 3e éd. Lausanne 1996, art. 7 LAO n. 2.5 p. 1272). D'après la jurisprudence, si c'est la procédure ordinaire qui est suivie, le sort des frais est réglé par le droit cantonal applicable ( ATF 121 IV 375 consid. 1c). b) Le recourant a choisi de verser 120 fr. au moyen de 107 bulletins de versement postaux; chacun d'eux a entraîné une taxe postale de 1,20 fr. à la charge de la commune titulaire du compte. Cette manière de faire n'est pas expressément interdite par la LAO mais cette loi ne l'autorise pas non plus. Il faut donc l'interpréter à la lumière des principes généraux. Le but de la loi, on l'a vu, est de simplifier la procédure de perception des amendes d'ordre et d'éviter les frais. Or, en choisissant délibérément, par esprit de revanche ou de chicane, de multiplier les bulletins de versement afin de causer des frais, le recourant s'est opposé frontalement au but de la loi. Il a compliqué la procédure qui doit rester simple et il a occasionné des frais alors que ceux-ci doivent être réduits au minimum. Dès lors, on ne saurait admettre que l'amende ait été payée conformément à la loi. Ainsi, le jugement attaqué ne viole pas le droit fédéral. BGE 126 IV 95 S. 99 Quant aux frais ajoutés à l'amende, ils relèvent du droit cantonal; des griefs à leur sujet seraient irrecevables dans le cadre du pourvoi en nullité (art. 269 al. 1 et 273 al. 1 let. b PPF).</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