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91</w:t>
      </w:r>
    </w:p>
    <w:p>
      <w:r>
        <w:t>Bundesgericht (BGE), 2000-01-01, DE</w:t>
      </w:r>
    </w:p>
    <w:p>
      <w:r>
        <w:rPr>
          <w:b/>
        </w:rPr>
        <w:t xml:space="preserve">Quelle: </w:t>
      </w:r>
      <w:r>
        <w:t>https://mcp.opencaselaw.ch/entscheid/bge_BGE_126_IV_91</w:t>
      </w:r>
    </w:p>
    <w:p>
      <w:r>
        <w:t>FR: ATF 126 IV 91</w:t>
      </w:r>
    </w:p>
    <w:p>
      <w:r>
        <w:t>IT: DTF 126 IV 91</w:t>
      </w:r>
    </w:p>
    <w:p>
      <w:pPr>
        <w:pStyle w:val="Heading2"/>
      </w:pPr>
      <w:r>
        <w:t>Regeste</w:t>
      </w:r>
    </w:p>
    <w:p>
      <w:r>
        <w:t>Regeste Art. 32 Abs. 1 SVG, 4 Abs. 1 VRV; Anpassung der Geschwindigkeit an die Sichtweite. Diese Regel gilt auch auf Autobahnen, insbesondere nachts beim Fahren mit Abblendlicht (E. 4; Bestätigung der Rechtsprechung).</w:t>
      </w:r>
    </w:p>
    <w:p>
      <w:r>
        <w:t>Regeste Art. 32 al. 1 LCR, art. 4 al. 1 OCR; adaptation de la vitesse à la distance de visibilité. Cette règle vaut également sur les autoroutes, en particulier lorsqu'on circule de nuit avec les feux de croisement (consid. 4; confirmation de la jurisprudence).</w:t>
      </w:r>
    </w:p>
    <w:p>
      <w:r>
        <w:t>Regesto Art. 32 cpv. 1 LCStr, art. 4 cpv. 1 ONC; la velocità deve essere adattata alle condizioni di visibilità. Questa regola vale anche sulle autostrade, in particolare quando si circola di notte con i fari a luce anabbagliante (consid. 4; conferma della giurisprudenza).</w:t>
      </w:r>
    </w:p>
    <w:p>
      <w:pPr>
        <w:pStyle w:val="Heading2"/>
      </w:pPr>
      <w:r>
        <w:t>Erwägungen</w:t>
      </w:r>
    </w:p>
    <w:p>
      <w:r>
        <w:rPr>
          <w:b/>
        </w:rPr>
        <w:t>E. 4</w:t>
      </w:r>
    </w:p>
    <w:p>
      <w:r>
        <w:t>a) aa) Art. 117 bzw. 125 StGB stellen die fahrlässige Tötung und die fahrlässige Körperverletzung unter Strafe. Nebst dem Eintritt des Erfolgs müssen für eine Verurteilung zwei Bedingungen erfüllt sein. Der Täter muss fahrlässig gehandelt haben, und es muss zwischen der Fahrlässigkeit und dem eingetretenen Erfolg ein Kausalzusammenhang bestehen. Gemäss Art. 18 Abs. 3 StGB handelt fahrlässig, wer die Folge seines Verhaltens aus pflichtwidriger Unvorsichtigkeit nicht bedacht oder darauf nicht Rücksicht genommen hat; pflichtwidrig ist die Unvorsichtigkeit, wenn der Täter die Vorsicht nicht beobachtet, zu der er nach den Umständen und nach seinen persönlichen Verhältnissen verpflichtet ist. Bei der Bestimmung des im Einzelfall zugrunde zu legenden Massstabes des sorgfaltsgemässen Verhaltens kann auf Bestimmungen zurückgegriffen werden, die - wie die Strassenverkehrsregeln - der Unfallverhütung und der Sicherheit dienen ( BGE 122 IV 225 S. 227). bb) Die Geschwindigkeit eines Fahrzeugs ist stets den Umständen und insbesondere den Sichtverhältnissen anzupassen ( Art. 32 Abs. 1 SVG ; SR 741.01). Der Fahrzeuglenker darf nur so schnell fahren, dass er innerhalb der überblickbaren Strecke anhalten kann (Art. 4 Abs. 1 der Verkehrsregelnverordnung vom 13. November 1962 [VRV; SR 741.11]). Dies gilt auch auf Autobahnen (vgl. Art. 43 Abs. 3 Satz 3 SVG i.V. mit Art. 36 VRV ), insbesondere nachts beim Fahren mit Abblendlicht ( BGE 93 IV 115 ). An diesem Grundsatz ist festzuhalten und seine Bedeutung mit Nachdruck in Erinnerung zu rufen. cc) Das Bundesgericht hat bereits in BGE 93 IV 115 festgehalten, es sei nicht zu sehen, wie der in Art. 32 Abs. 1 SVG aufgestellte Grundsatz verwirklicht werden könnte, wenn nicht auch nachts und auf Autobahnen auf die Sichtweite abgestellt würde. In diesem BGE 126 IV 91 S. 93 Präjudiz ging es um einen Automobilisten, der mit Abblendlicht fuhr und einem Stuhl, der auf der Fahrbahn lag, ausweichen wollte, dabei aber ins Schleudern geriet und verunfallte. Das Bundesgericht führte dazu aus, auch auf Autobahnen sei die Gefahr des Zusammentreffens mit unbeleuchteten Hindernissen nicht so selten, dass ihre Möglichkeit unberücksichtigt bleiben dürfe; insbesondere gäben immer wieder Motorfahrzeuge, die nach einem Unfall die Fahrbahn versperrten und nicht oder nur schlecht beleuchtet seien, Anlass zu Kollisionen; es wäre unverantwortlich, trotz der Möglichkeit solcher Hindernisse um der Erreichung hoher Geschwindigkeiten willen auf das Gebot des Fahrens auf Sicht ganz oder teilweise zu verzichten, denn die Sicherheit des Verkehrs und insbesondere der Schutz von Menschenleben gehe dem Streben nach Zeitgewinn vor (vgl. BGE 93 IV 115 S. 117/118). Einige Jahre später bestätigte das Bundesgericht ausdrücklich, nachts sei die Geschwindigkeit eines mit Abblendlicht auf der Autobahn fahrenden Fahrzeugs nur dann den Verhältnissen angepasst, wenn der Lenker in der Lage sei, innert der kürzesten beleuchteten Strecke, "d.h. auf der linken Fahrbahnseite innert 50 m", anzuhalten ( BGE 100 IV 279 , worin zudem festgehalten wird, ein Lenker, der ein Hindernis, welches er auf 50 m hätte sehen können, erst auf 20 m wahrnehme, sei unaufmerksam). An dieser Rechtsprechung hat das Bundesgericht in seiner neuesten Rechtsprechung festgehalten (vgl. nicht amtlich publiziertes Urteil des Bundesgerichts vom 4. Juli 1997, veröffentlicht in SJ 1997 S. 668 und JdT 1997 I Nr. 43), in einem Fall, wo der Lenker mit Abblendlicht und 120 km/h auf der Autobahn fuhr und mit einem rechtwinklig zur Fahrbahn stehenden Auto, dessen Scheinwerfer nicht funktionierten und dessen Rücklichter für ihn nicht sichtbar waren, zusammenstiess. In Bestätigung der Verurteilung wegen fahrlässiger Tötung des ausgestiegenen Beifahrers führte es erneut aus, ein Fahrzeuglenker müsse auf der Autobahn immer damit rechnen, nachts auf unbeleuchtete Hindernisse und insbesondere auf unbeleuchtete und stehende Fahrzeuge zu stossen, und habe seine Fahrweise und Aufmerksamkeit dieser möglichen Gefahr anzupassen. Gegen diese Rechtsprechung wird gelegentlich der Vorwurf erhoben, sie trage der üblichen Fahrweise und den tatsächlichen Verhältnissen auf den Autobahnen keine Rechnung und sei überdies nicht praktikabel. Dem Einwand steht jedoch die klare und eindeutige gesetzliche Regelung entgegen, die, wie gesagt, der Verkehrssicherheit und dem Schutz von Menschenleben dient. Gerade der BGE 126 IV 91 S. 94 hier zu beurteilende Unfall mit seinen schwerwiegenden Folgen - im Übrigen kein Einzelfall - zeigt, wie berechtigt die gesetzliche Regelung ist. dd) Entsprechende Vorschriften bestehen in Frankreich und Deutschland. Wenn die Sichtweite weniger als 50 m beträgt, reduziert sich in Frankreich auf dem ganzen Strassennetz, also auch auf Autobahnen, die höchste zulässige Geschwindigkeit auf 50 km/h (COUVRAT/MASSÉ, Code de la route, Codes Dalloz, Paris 1996, S. 74). Auch in Deutschland darf ein Fahrzeuglenker nur so schnell fahren, dass er innerhalb der übersehbaren Strecke halten kann (§ 3 der deutschen Strassenverkehrsordnung StVO). Für das Fahren auf Autobahnen wird dieser Grundsatz wie folgt konkretisiert (§ 18 Abs. 6 StVO): Wer auf Autobahnen mit Abblendlicht fährt, braucht seine Geschwindigkeit nicht der Reichweite des Abblendlichts anzupassen, wenn (1) die Schlussleuchten des vorausfahrenden Kraftfahrzeugs klar erkennbar sind und ein ausreichender Abstand von ihm eingehalten wird, oder (2) der Verlauf der Fahrbahn durch Leiteinrichtungen mit Rückstrahlern und, zusammen mit fremdem Licht, Hindernisse rechtzeitig erkennbar sind. Nach der Rechtsprechung des deutschen Bundesgerichtshofes (BGH) zu den Pflichten der Verkehrsteilnehmer auf Autobahnen bei Dunkelheit ist es selbstverständlich, dass sie auf Sicht fahren müssen; es mache bezüglich des Verschuldens keinen Unterschied, ob es infolge Unachtsamkeit oder wegen zu schnellen Fahrens im Hinblick auf die überschaubare Strecke zu einem Auffahren selbst eines unbeleuchteten, gegebenenfalls auch haltenden bzw. stehenden Hindernisses komme; anders liege es unter ganz besonderen Umständen nur, wenn plötzlich von der Seite her ein Hindernis in den Fahrbereich gelange oder wenn wegen ihrer besonderen Beschaffenheit Hindernisse - etwa wegen fehlenden Kontrastes zur Fahrbahn oder wegen hoher Lichtabsorption - ungewöhnlich schwer zu erkennen seien; dies könne der Fall sein, wenn ein Baumstamm weit nach hinten aus einem unbeleuchteten Anhänger herausrage, wenn eine Absperrstange eines Weidenzaunes spitzwinklig in den Verkehrsbereich hineinrage sowie wenn ein Gegenstand von der Grösse etwa eines halben Lastwagenreifens auf der Fahrbahn liege; zu den aussergewöhnlich schwer erkennbaren Gegenständen gehörten jedoch Fahrzeuge nicht, und zwar auch dann nicht, wenn sie unbeleuchtet seien (vgl. BGH in Neue juristische Wochenschrift NJW 1984 S. 2412; bestätigt in Neue Zeitschrift für Verkehrsrecht NZV 1996 S. 235, 2000 S. 49; vgl. dazu auch JOACHIM BOHNERT, Sichtgeschwindigkeit auf Autobahnen, Deutsches Autorecht DAR 1986 S. 11 ff.). BGE 126 IV 91 S. 95 b) Nach den verbindlichen Feststellungen der Vorinstanz fuhr der Beschwerdeführer mit 130 km/h, obwohl das Abblendlicht, das er wegen des vorangehenden Überholmanövers eingeschaltet hatte, die vor ihm liegende Strecke nur 50 Meter weit ausleuchtete. Er fuhr also viel zu schnell. Obwohl er den unbeleuchteten Seat Ibiza nach den Feststellungen der Vorinstanz spätestens dann hätte erkennen können, als dieser 50 Meter weiter vorn in den Lichtkegel des Abblendlichtes geriet, hat er ihn nach seinen eigenen Angaben erst aus einer Entfernung von 30 bis 35 Metern wahrgenommen. Er widmete der Fahrbahn folglich offensichtlich nicht genügend Aufmerksamkeit. Wäre er, wie es Art. 4 Abs. 1 VRV ausdrücklich vorschreibt, nur so schnell gefahren, dass er innerhalb der überblickbaren Strecke hätte anhalten können, und hätte er der vor ihm liegenden Fahrbahn genügend Aufmerksamkeit gewidmet, so dass er den Seat Ibiza sofort wahrgenommen hätte, als dieser in den Lichtkegel des Autos geriet, dann wäre der Unfall vermieden worden. Die vom Beschwerdeführer im Verfahren der Nichtigkeitsbeschwerde hauptsächlich aufgeworfene Frage, ob er den Unfall bzw. den Erfolg hätte vermeiden können, ist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