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60</w:t>
      </w:r>
    </w:p>
    <w:p>
      <w:r>
        <w:t>Bundesgericht (BGE), 2000-01-01, FR</w:t>
      </w:r>
    </w:p>
    <w:p>
      <w:r>
        <w:rPr>
          <w:b/>
        </w:rPr>
        <w:t xml:space="preserve">Quelle: </w:t>
      </w:r>
      <w:r>
        <w:t>https://mcp.opencaselaw.ch/entscheid/bge_BGE_126_IV_60</w:t>
      </w:r>
    </w:p>
    <w:p>
      <w:r>
        <w:t>FR: ATF 126 IV 60</w:t>
      </w:r>
    </w:p>
    <w:p>
      <w:r>
        <w:t>IT: DTF 126 IV 60</w:t>
      </w:r>
    </w:p>
    <w:p>
      <w:pPr>
        <w:pStyle w:val="Heading2"/>
      </w:pPr>
      <w:r>
        <w:t>Regeste</w:t>
      </w:r>
    </w:p>
    <w:p>
      <w:r>
        <w:t>Regeste Art. 8 Abs. 1 lit. d und 19 Ziff. 1 BetmG; Verkauf von Hanfpflanzen zur Betäubungsmittelgewinnung. Art. 19 Ziff. 1 BetmG ist nicht nur auf Betäubungsmittel im Sinne von Art. 1 BetmG, sondern auch auf jene Betäubungsmittel anwendbar, die - wie die gesamte Cannabispflanze - in Art. 8 Abs. 1 BetmG erwähnt werden. Folglich fällt unter Art. 19 Ziff. 1 BetmG der Verkauf oder das Inverkehrbringen von Hanfpflanzen, sofern die Gewinnung von Betäubungsmitteln beabsichtigt ist. Diese Bedingung ist verwirklicht, wenn der Täter weiss, dass der in dieser Art von ihm verkaufte Hanf als Betäubungsmittel konsumiert wird, und er den Hanf dennoch verkauft und dabei den Konsum in Kauf nimmt (E. 2).</w:t>
      </w:r>
    </w:p>
    <w:p>
      <w:r>
        <w:t>Regeste Art. 8 al. 1 let. d et 19 ch. 1 LStup; vente de fleurs de chanvre en vue d'en extraire des stupéfiants. L'art. 19 ch. 1 LStup s'applique non seulement aux stupéfiants visés à l'art. 1 LStup mais aussi à ceux mentionnés à l'art. 8 al. 1 LStup, dont la plante de cannabis dans son entier. Tombe par conséquent sous le coup de l'art. 19 ch. 1 LStup la vente, soit la mise dans le commerce, de fleurs de chanvre lorsqu'elle vise l'extraction de stupéfiants. Cette dernière condition est réalisée lorsque l'auteur sait que le chanvre ainsi vendu sera consommé comme des stupéfiants et le vend néanmoins, acceptant qu'il en soit fait un tel usage (consid. 2).</w:t>
      </w:r>
    </w:p>
    <w:p>
      <w:r>
        <w:t>Regesto Art. 8 cpv. 1 lett. d e 19 n. 1 LStup; vendita di fiori di canapa per estrarne stupefacenti. L'art. 19 n. 1 LStup si applica non solo agli stupefacenti di cui all'art. 1 LStup ma anche a quelli elencati all'art. 8 cpv. 1 LStup, in particolare a tutta la pianta della canapa. Di conseguenza, è punibile ai sensi dell'art. 19 n. 1 LStup. il fatto di vendere, ossia di mettere in commercio, dei fiori di canapa se lo scopo è di estrarne stupefacenti. Quest'ultima condizione è adempiuta quando l'agente sa che la canapa venduta sarà usata come stupefacente e, ciò nonostante, la vende, accettando così che sia utilizzata a tale scopo (consid. 2).</w:t>
      </w:r>
    </w:p>
    <w:p>
      <w:pPr>
        <w:pStyle w:val="Heading2"/>
      </w:pPr>
      <w:r>
        <w:t>Erwägungen</w:t>
      </w:r>
    </w:p>
    <w:p>
      <w:r>
        <w:rPr>
          <w:b/>
        </w:rPr>
        <w:t>E. 2</w:t>
      </w:r>
    </w:p>
    <w:p>
      <w:r>
        <w:t>Invoquant une violation de l' art. 8 al. 1 let . d LStup en relation avec l' art. 19 ch. 1 LStup , le recourant soutient que le dol éventuel, même s'il est réalisé, ne suffit pas pour admettre la réalisation de l'infraction retenue. a) Dans un arrêt non publié du 16 novembre 1994 (6S.546/1994), auquel se réfère la cour cantonale en renvoyant à sa décision incidente du 13 septembre 1999, il a été jugé que la mise dans le commerce de la plante de chanvre, même sans ses sommités florifères ou fructifères, tombe sous le coup de l' art. 19 LStup pour autant que l'auteur ait en vue d'en extraire des stupéfiants. Certes, les feuilles de la plante de chanvre, non accompagnées de sommités florifères ou fructifères, ne sont pas des stupéfiants au sens de l'art. 1 de la BGE 126 IV 60 S. 63 Convention unique sur les stupéfiants de 1961 et de l' art. 1 LStup . Cette convention oblige cependant les Etats à empêcher l'abus des feuilles de la plante de cannabis. Selon l' art. 8 al. 1 let . d LStup, le chanvre en vue d'en extraire des stupéfiants et la résine de ses poils glanduleux (haschisch) ne peuvent être ni cultivés, ni importés, ni fabriqués ou mis dans le commerce. Le comportement interdit par cette disposition est sanctionné par l' art. 19 ch. 1 LStup , qui réprime donc non seulement la culture mais également l'importation, la fabrication et la mise dans le commerce du chanvre, autant que ces comportements visent l'extraction de stupéfiants. Il en résulte que l'interdiction de mettre dans le commerce du chanvre en vue d'en extraire des stupéfiants touche la plante dans son entier. Ainsi, l' art. 19 ch. 1 LStup s'applique non seulement aux stupéfiants visés à l' art. 1 LStup mais aussi à ceux mentionnés à l' art. 8 al. 1 LStup , dont la plante de cannabis dans son entier. Cette conclusion découle également de l' art. 2 let . e de l'Ordonnance du 29 mai 1996 sur les stupéfiants et les substances psychotropes (OStup; RS 812.121.1) et de l'appendice 5 de l'Ordonnance de l'Office Fédéral de la Santé Publique (OFSP) (RS 812.121.2). En l'occurrence, l'auteur avait distribué des tracts, accompagnés de sachets contenant des feuilles de chanvre, éloignées des sommités florifères et fructifères, alors qu'il était conscient qu'un certain nombre de destinataires allaient tenter de fumer ou de distiller les feuilles ou d'en obtenir davantage selon les indications contenues dans les tracts; la distribution qui lui était reprochée, alliée à la volonté de promouvoir l'usage des feuilles de chanvre en vue d'en extraire des stupéfiants, tombait donc sous le coup de l' art. 19 ch. 1 LStup . En l'espèce, il est établi que le recourant a vendu, donc mis dans le commerce, des sachets de fleurs de chanvre, lesquelles, comme il l'admet lui-même, sont au demeurant une des parties de la plante à plus forte teneur en THC. Ainsi qu'il ressort de l'arrêt précité, un tel comportement tombe sous le coup de l' art. 19 ch. 1 LStup lorsqu'il vise l'extraction de stupéfiants. Cela n'est du reste pas contesté. b) Contrairement à ce que tente de faire admettre le recourant, la cour cantonale a clairement retenu qu'il avait agi avec dol direct; ce n'est qu'à titre subsidiaire qu'elle a tenu à ajouter qu'"au demeurant (...) le dol éventuel suffit" et que le recourant avait "pour le moins" envisagé l'usage illicite pouvant être fait du chanvre vendu et s'était accommodé de ce résultat au cas où il se produirait. Il y a dol direct lorsque l'auteur est conscient que le résultat illicite se produira et agit néanmoins, acceptant ainsi qu'il se réalise (cf. BGE 126 IV 60 S. 64 ATF 105 IV 12 consid. 4 p. 14). En l'espèce, cela pouvait être déduit sans violer le droit fédéral des faits retenus. Sur la base d'une appréciation des preuves, il a été retenu que le recourant a vendu le chanvre litigieux en étant parfaitement conscient du fait que celui-ci était en réalité consommé comme des stupéfiants. Cette constatation relève du fait ( ATF 123 IV 155 consid. 1a p. 156; ATF 122 IV 156 consid. 2b p. 160 et les arrêts cités) et ne peut donc être remise en cause dans un pourvoi en nullité. Il en résulte que le recourant savait que le chanvre litigieux serait consommé comme des stupéfiants et qu'il l'a néanmoins vendu, acceptant qu'il en soit fait un tel usage. Il a donc bien agi par dol direct. L'argumentation du pourvoi, qui tend exclusivement à faire admettre que, s'agissant de l'infraction en cause, le dol éventuel ne suffirait pas, est donc vaine. c) Les conditions de l'infraction retenue étant réalisées, la condamnation du recourant de ce chef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