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 97</w:t>
      </w:r>
    </w:p>
    <w:p>
      <w:r>
        <w:t>Bundesgericht (BGE), 2000-01-01, DE</w:t>
      </w:r>
    </w:p>
    <w:p>
      <w:r>
        <w:rPr>
          <w:b/>
        </w:rPr>
        <w:t xml:space="preserve">Quelle: </w:t>
      </w:r>
      <w:r>
        <w:t>https://mcp.opencaselaw.ch/entscheid/bge_BGE_126_II_97</w:t>
      </w:r>
    </w:p>
    <w:p>
      <w:r>
        <w:t>FR: ATF 126 II 97</w:t>
      </w:r>
    </w:p>
    <w:p>
      <w:r>
        <w:t>IT: DTF 126 II 97</w:t>
      </w:r>
    </w:p>
    <w:p>
      <w:pPr>
        <w:pStyle w:val="Heading2"/>
      </w:pPr>
      <w:r>
        <w:t>Regeste</w:t>
      </w:r>
    </w:p>
    <w:p>
      <w:r>
        <w:t>Regeste Art. 12 OHG; Pflicht zur Substanziierung und Bezifferung von Entschädigungs- und Genugtuungsansprüchen. Soweit der Schaden oder allfällige Leistungspflichten Dritter innert der zweijährigen Verwirkungsfrist gemäss Art. 16 Abs. 3 OHG nicht feststehen, sind unbezifferte Entschädigungs- und Genugtuungsbegehren zulässig (E. 2a-d). Hingegen muss das Opfer innert der Verwirkungsfrist den anspruchsbegründenden Sachverhalt mit hinreichender Bestimmtheit darlegen (E. 2e und f). Ungenügen des beurteilten Gesuchs mangels näherer Angaben zu Ort, Ursache und genauem Hergang des Unfalls, erlittenen Verletzungen, Schadenabwicklung und persönlichen Verhältnissen des Opfers (E. 3). Art. 4 aBV bzw. 5 Abs. 3 und 9 BV; Folgen einer unzutreffenden behördlichen Aufforderung zur Verbesserung einer Eingabe. Wenn eine Opferhilfestelle nach Einreichung eines Entschädigungs- und Genugtuungsbegehren (zu Unrecht) zur Substanziierung der Schadensposten auffordert, aber keine weiteren Angaben verlangt, so verstösst es gegen Treu und Glauben, das Gesuch hernach mangels solcher weiterer Angaben abzuweisen (E. 4 und 5).</w:t>
      </w:r>
    </w:p>
    <w:p>
      <w:r>
        <w:t>Regeste Art. 12 LAVI; obligation de justifier et chiffrer les demandes d'indemnisation. En tant que le dommage ou les éventuelles obligations de réparer de tiers ne sont pas établis dans le délai de péremption de deux ans prévu par l'art. 16 al. 3 LAVI, des demandes d'indemnisation non chiffrées sont recevables (consid. 2a-d). Par contre, dans le délai de péremption, la victime doit exposer avec suffisamment de précision l'état de faits à la base de ses prétentions (consid. 2e et f). Insuffisance de la requête concernée, faute d'indications précises sur le lieu, la cause et le déroulement exact de l'accident, les blessures subies, l'évaluation du dommage et la situation personnelle de la victime (consid. 3). Art. 4 aCst. ou 5 al. 3 et 9 Cst.; conséquences d'une injonction inappropriée de l'autorité, tendant à faire compléter une requête. Le principe de la bonne foi est violé lorsqu'un office d'aide aux victimes, après avoir exigé (sans fondement) la justification des divers éléments du dommage mais sans demander de renseignements supplémentaires, rejette la requête en raison de l'absence de tels renseignements (consid. 4 et 5).</w:t>
      </w:r>
    </w:p>
    <w:p>
      <w:r>
        <w:t>Regesto Art. 12 LAV; obbligo di motivare e di specificare in cifre le domande di indennizzo e di riparazione morale. Ove il danno o eventuali terzi tenuti a effettuare prestazioni non sono determinati entro il termine di perenzione di due anni stabilito dall'art. 16 cpv. 3 LAV, domande di indennizzo e di riparazione morale non specificate nelle cifre sono ammissibili (consid. 2a-d). Per contro, entro il termine di perenzione la vittima deve indicare con sufficiente precisione la fattispecie posta a fondamento delle sue pretese (consid. 2e ed f). Insufficienza della domanda per l'assenza di indicazioni più precise sul luogo, la causa e lo svolgimento esatto dell'incidente, sulle ferite subite, sulla liquidazione del danno e sulla situazione personale della vittima (consid. 3). Art. 4 vCost. rispettivamente 5 cpv. 3 e 9 Cost.; conseguenze di un'ingiunzione inesatta dell'autorità tendente a completare un'istanza. Il principio della buona fede è violato qualora un ufficio d'aiuto alle vittime di reati, dopo la presentazione di una domanda di indennizzo e di riparazione morale, inviti (a torto) l'istante a motivare le voci del danno ma, senza chiedere ulteriori indicazioni, respinga in seguito l'istanza per l'assenza di tali indicazioni (consid. 4 e 5).</w:t>
      </w:r>
    </w:p>
    <w:p>
      <w:pPr>
        <w:pStyle w:val="Heading2"/>
      </w:pPr>
      <w:r>
        <w:t>Erwägungen</w:t>
      </w:r>
    </w:p>
    <w:p>
      <w:r>
        <w:rPr>
          <w:b/>
        </w:rPr>
        <w:t>E. 2</w:t>
      </w:r>
    </w:p>
    <w:p>
      <w:r>
        <w:t>Streitig ist einzig, ob die Eingabe der Beschwerdeführerin vom 10. bzw. 24. September 1997 hinreichend substanziiert war. a) Das Gesetz enthält keine Vorschriften darüber, wie eingehend ein Gesuch nach Art. 12 OHG substanziiert werden muss, um als fristwahrend gelten zu können. Die Antwort ist aus Sinn, Zweck und Systematik des Gesetzes sowie aus allgemeinen Grundsätzen abzuleiten. BGE 126 II 97 S. 100 b) Gemäss Art. 12 OHG hat das Opfer einer Straftat unter bestimmten Voraussetzungen Anspruch auf Entschädigung und Genugtuung. Diese Leistungen sind subsidiär zu Leistungen, die das Opfer als Schadenersatz erhalten hat ( Art. 14 Abs. 1 OHG ). Die Kantone sehen ein einfaches, rasches und kostenloses Verfahren vor ( Art. 16 Abs. 1 OHG ). Das Opfer muss das Gesuch um Entschädigung und Genugtuung innert zwei Jahren nach der Straftat einreichen ( Art. 16 Abs. 3 OHG ). c) Aus diesen Bestimmungen ergibt sich als Zielsetzung des Gesetzes, dass die Opfer auf einfache und rasche Weise zu einer Entschädigung gelangen können. Die relativ kurze Verwirkungsfrist von zwei Jahren soll zudem das Opfer veranlassen, rasch seine Ansprüche geltend zu machen, damit die Behörde zu einem Zeitpunkt entscheiden kann, in dem der Sachverhalt noch abgeklärt werden kann ( BGE 123 II 241 E. 3c S. 243). Indessen steht häufig nach zwei Jahren noch gar nicht fest, ob alle anspruchsbegründenden Tatbestandselemente erfüllt sind, was Voraussetzung für eine Leistung nach den Art. 11-14 OHG ist ( BGE 122 II 211 E. 3d S. 216). So kann noch unklar sein, ob überhaupt eine Straftat vorliegt. Zudem kann häufig der Schaden noch nicht beziffert werden. Schliesslich steht nach Ablauf dieser Zeit nicht immer fest, ob Dritte schadenersatzpflichtig sind, so dass die gemäss Art. 1 der Opferhilfeverordnung vom 18. November 1992 (OHV; SR 312.51) vom Opfer verlangte Glaubhaftmachung, dass es keine oder nur ungenügende Leistungen von Dritten erhalten kann, noch gar nicht möglich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