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399</w:t>
      </w:r>
    </w:p>
    <w:p>
      <w:r>
        <w:t>Bundesgericht (BGE), 2000-01-01, DE</w:t>
      </w:r>
    </w:p>
    <w:p>
      <w:r>
        <w:rPr>
          <w:b/>
        </w:rPr>
        <w:t xml:space="preserve">Quelle: </w:t>
      </w:r>
      <w:r>
        <w:t>https://mcp.opencaselaw.ch/entscheid/bge_BGE_126_II_399</w:t>
      </w:r>
    </w:p>
    <w:p>
      <w:r>
        <w:t>FR: ATF 126 II 399</w:t>
      </w:r>
    </w:p>
    <w:p>
      <w:r>
        <w:t>IT: DTF 126 II 399</w:t>
      </w:r>
    </w:p>
    <w:p>
      <w:pPr>
        <w:pStyle w:val="Heading2"/>
      </w:pPr>
      <w:r>
        <w:t>Regeste</w:t>
      </w:r>
    </w:p>
    <w:p>
      <w:r>
        <w:t>Regeste Schutz vor nichtionisierenden Strahlen einer Mobilfunkantenne (Art. 11-13 USG; Art. 4 und 13 sowie Anhänge 1 und 2 NISV). Konzept des Schutzes vor nichtionisierenden Strahlen: Immissionsgrenzwerte zum Schutz vor den wissenschaftlich nachgewiesenen thermischen Wirkungen und Anlagegrenzwerte zur vorsorglichen Emissionsbegrenzung (Schutz vor dem Risiko weiterer schädlicher Wirkungen, insbesondere vor nicht-thermischen Wirkungen). Abschliessende Regelung der vorsorglichen Emissionsbegrenzung in Art. 4 NISV (E. 3). Keine Gesetzwidrigkeit des gewählten Konzepts und der Festlegung der Grenzwerte. Vorbehalt der Überprüfung und Anpassung bei neuen wissenschaftlichen Erkenntnissen (E. 4).</w:t>
      </w:r>
    </w:p>
    <w:p>
      <w:r>
        <w:t>Regeste Protection contre le rayonnement non ionisant d'une antenne de téléphonie mobile (art. 11-13 LPE; art. 4, 13 et annexes 1 et 2 ORNI). Concept de la protection contre le rayonnement non ionisant: valeurs limites d'immissions pour la protection contre les effets thermiques prouvés de façon scientifique, et valeur limite de l'installation pour la limitation préventive des émissions (protection contre le risque d'autres effets nuisibles, en particulier contre les effets non-thermiques). Réglementation exhaustive, à l'art. 4 ORNI, de la limitation préventive des émissions (consid. 3). Le choix de ce concept et la fixation des valeurs limites, dans l'ordonnance, sont conformes à la loi. Réserve d'un réexamen et d'une adaptation en cas de nouvelles connaissances scientifiques (consid. 4).</w:t>
      </w:r>
    </w:p>
    <w:p>
      <w:r>
        <w:t>Regesto Protezione dalle radiazioni non ionizzanti di un'antenna di telefonia mobile (art. 11-13 LPAmb, art. 4 e 13 nonché allegati 1 e 2 della ORNI). Concetto della protezione dalle radiazioni non ionizzanti: valori limite d'immissione per la protezione contro gli effetti termici provati in maniera scientifica e valore limite dell'impianto per la limitazione preventiva delle emissioni (protezione contro il rischio di altri effetti dannosi, in particolare contro gli effetti non termici). Regolamentazione esaustiva, all'art. 4 ORNI, della limitazione preventiva delle emissioni (consid. 3). Il concetto scelto e la determinazione dei valori limite non sono illegali. Riserva di un riesame e di un adattamento in caso di nuove conoscenze scientifiche (consid. 4).</w:t>
      </w:r>
    </w:p>
    <w:p>
      <w:pPr>
        <w:pStyle w:val="Heading2"/>
      </w:pPr>
      <w:r>
        <w:t>Erwägungen</w:t>
      </w:r>
    </w:p>
    <w:p>
      <w:r>
        <w:rPr>
          <w:b/>
        </w:rPr>
        <w:t>E. 2</w:t>
      </w:r>
    </w:p>
    <w:p>
      <w:r>
        <w:t>a) Die umstrittene Mobilfunkanlage entspricht den kommunalen und kantonalen Vorschriften des Bau- und Planungsrechts. Sie darf jedoch nur bewilligt werden, wenn sie auch die Anforderungen der Verordnung über den Schutz vor nichtionisierender Strahlung vom 23. Dezember 1999 (NISV; SR 814.710) erfüllt. Wie das Verwaltungsgericht zu Recht festgestellt hat, ist dieser neue Erlass im vorliegenden Fall anwendbar, da die Baubewilligung für die Mobilfunkanlage bei Inkrafttreten dieses Erlasses am 1. Februar 2000 noch nicht rechtskräftig war ( Art. 3 Abs. 2 lit. a NISV ). b) Aus den Akten geht hervor, dass die geplante Anlage die Vorschriften der neuen Verordnung vollumfäng- lich einhält. Der massgebliche Immissionsgrenzwert für elektrische Feldstärke beträgt gemäss Anhang 2 Ziff. 11 NISV 41.25 V/m (1,375 x /900). Er wird im vorliegenden Fall an allen den Orten, wo sich Menschen aufhalten BGE 126 II 399 S. 401 können, deutlich unterschritten. Das kantonale Amt für Industrie, Gewerbe und Arbeit (KIGA) ermittelte an den kritischen Standorten Belastungen von 0.36 V/m (im Innern der obersten Wohnung der Liegenschaft Schulriederstrasse 13), von 0.89 V/m (im Innern der Werkstatt des Gewerbegebäudes Schulriederstrasse 9) und von 1.17 V/m (am Fuss des Antennenmastes). Auch die Grenzwerte der magnetischen Feldstärke und der magnetischen Flussdichte sind an den fraglichen nächsten Aufenthaltsorten von Menschen eingehalten. Da der Wohnort aller Beschwerdeführer vom Antennenmast weiter entfernt liegt als die drei Messpunkte, haben sie keine übermässigen Immissionen zu befürchten. Die geplante Anlage erfüllt damit die Anforderung von Art. 9 NISV . Der gemäss Art. 4 NISV ebenfalls zu beachtende Anlagegrenzwert beläuft sich vorliegend auf 4.0 V/m (Anhang 1 Ziff. 64 lit. a NISV). Auch dieser Wert wird an den kritischen Standorten nach den Ermittlungen des KIGA deutlich unterschritten. Schliesslich führt die neue Anlage auch zusammen mit anderen, bereits bestehenden Anlagen nicht zu einer Überschreitung des Immissionsgrenzwerts, was gemäss Art. 5 NISV die Anordnung einer verschärften Emissionsbegrenzung erforderte. Gemäss den Darlegungen des KIGA betragen die grossräumigen Hintergrundimmissionen im Hochfrequenzbereich (Radio- und Fernsehsender, Mobiltelefone, Polizei-, Betriebs-, Militär- und Flugfunk, Radar etc.) in ländlichen Gebieten rund 0.2 V/m. Der gleiche Wert gilt für die Hintergrundbelastung im Niederfrequenzbereich (Hochspannungs- und Eisenbahnleitungen, elektrische Installationen etc.). Es ist offenkundig, dass die durch die neue Anlage verursachten Emissionen auch zusammen mit diesen bestehenden Hintergrundbelastungen klar unter dem Immissionsgrenzwert bleiben. Die vorgesehene Mobilfunkanlage genügt somit sämtlichen Anforderungen der neuen Verordnung über den Schutz vor nichtionisierender Strahlung. c) Die Beschwerdeführer stellen nicht in Frage, dass die umstrittene Anlage den erwähnten Vorschriften vollumfänglich entspricht. Sie machen aber geltend, dass zusätzlich die sog. nicht-thermischen Wirkungen der von der Anlage ausgehenden Strahlung hätten berücksichtigt werden müssen. Da es sehr wahrscheinlich sei, dass diese eine erhebliche Gefahr für die Gesundheit der Menschen darstellten, verletze die Bewilligung der Anlage das Vorsorgeprinzip. In der neuen Verordnung über den Schutz vor nichtionisierender Strahlung werde der Vorsorge mit Blick auf die nicht-thermischen Strahlen nicht oder jedenfalls nicht ausreichend Rechnung getragen. BGE 126 II 399 S. 402 Sie hätte daher vom Verwaltungsgericht nicht als abschliessende Ordnung des Schutzes vor nichtionisierenden Strahlen angesehen werden dürfen. Sollte die neue Regelung aber als abschliessend zu verstehen sein, widerspreche sie dem Bundesgesetz über den Umweltschutz vom 7. Oktober 1983 (USG; SR 814.01) und sei deshalb nicht massgeblich.</w:t>
      </w:r>
    </w:p>
    <w:p>
      <w:r>
        <w:rPr>
          <w:b/>
        </w:rPr>
        <w:t>E. 3</w:t>
      </w:r>
    </w:p>
    <w:p>
      <w:r>
        <w:t>a) Die nichtionisierende Strahlung (Elektrosmog) zählt zu den schädlichen oder lästigen Einwirkungen, vor denen Menschen, Tiere und Pflanzen, ihre Lebensgemeinschaften und Lebensräume zu schützen sind ( Art. 1 Abs. 1 und Art. 7 Abs. 1 USG ). Zu diesem Zweck ist die Emission nichtionisierender Strahlen zu begrenzen ( Art. 11 USG ). Die Emissionsbegrenzung kann unter anderem durch die Festlegung von Grenzwerten in einer Verordnung erfolgen ( Art. 12 Abs. 1 lit. a und Abs. 2 USG ). Der Bundesrat hat ausserdem zur Beurteilung der schädlichen oder lästigen Einwirkungen durch Verordnung Immissionsgrenzwerte festzulegen ( Art. 13 USG ). Die Verordnung über den Schutz vor nichtionisierender Strahlung enthält die Ausführungsvorschriften zu den genannten Gesetzesbestimmungen. Sie stellt freilich keine umfassende Ordnung auf, sondern beschränkt sich auf den Schutz vor elektrischen und magnetischen Feldern im Frequenzbereich von 0 Hz bis 300 GHz. Ausserdem regelt die Verordnung lediglich die Strahlung, die von ortsfesten Anlagen ausgeht, und nicht auch diejenige beweglicher Geräte (Mobiltelefone, elektrischer Apparate und Haushaltsgeräte). b) Das Konzept der neuen Verordnung geht vom heutigen, noch lückenhaften Erkenntnisstand über die Wirkungen nichtionisierender Strahlung auf die Gesundheit des Menschen aus. Zur Zeit erscheinen lediglich die thermischen Wirkungen intensiver nichtionisierender Strahlung wissenschaftlich erhärtet. Diese führt zu einer Erwärmung des Körpers und löst verschiedene schädliche Folgereaktionen aus. Demgegenüber liegen über die nicht-thermischen (biologischen) Wirkungen nichtionisierender Strahlung - insbesondere auch bei schwachen Belastungen - keine gefestigten wissenschaftlichen Erkenntnisse, wohl aber gewisse Erfahrungen in Einzelfällen vor. Im angefochtenen Entscheid wird der gegenwärtige Wissensstand unter Verweis auf verschiedene Berichte der Arbeitsgruppen, die das Bundesamt für Umwelt, Wald und Landschaft (BUWAL) zur Klärung der naturwissenschaftlichen Zusammenhänge eingesetzt hat, im Einzelnen nachgezeichnet. BGE 126 II 399 S. 403 Die Regelung des Schutzes vor nichtionisierenden Strahlen knüpft an diesen uneinheitlichen Kenntnisstand an. Der Schutz vor den wissenschaftlich erhärteten thermischen Wirkungen wird durch Immissionsgrenzwerte (Anhang 2 NISV) bewerkstelligt, die überall eingehalten sein müssen, wo sich Menschen aufhalten können ( Art. 13 Abs. 1 NISV ). Dabei wurden die von der Internationalen Kommission zum Schutz vor nichtionisierender Strahlung (ICNIRP) erarbeiteten Grenzwerte übernommen. Bei der Aufstellung dieser Werte berücksichtigte die ICNIRP lediglich Wirkungen, die in experimentellen Untersuchungen wiederholt und reproduzierbar erzeugt werden konnten und die für den Menschen ein Gesundheitsrisiko darstellen. Dagegen wurden einmalige oder nicht wiederholbare Befunde, insbesondere epidemiologische Untersuchungen und individuelle Erfahrungen "elektrosensibler" Personen ausgeklammert (vgl. BUWAL, Erläuternder Bericht zur Verordnung über den Schutz vor nichtionisierender Strahlung [NISV] vom 23. Dezember 1999, S. 5). Der Verordnungsgeber hat erkannt, dass mit der blossen Übernahme der ICNIRP-Grenzwerte im Blick auf mögliche nicht-thermische Wirkungen der Schutz vor nichtionisierender Strahlung lückenhaft wäre. Er hat daher zusätzlich vorsorgliche Emissionsbegrenzungen angeordnet ( Art. 4 NISV ), die das Risiko schädlicher Wirkungen, die zum Teil erst vermutet werden und noch nicht absehbar sind, möglichst gering halten sollen (BUWAL, Erläuternder Bericht, S. 6). Für verschiedene Kategorien von Anlagen bestimmt sich die vorsorgliche Emissionsbegrenzung auf Grund besonderer Anlagegrenzwerte ( Art. 4 Abs. 1 NISV ), bei den übrigen Anlagen sind die Emissionen so weit zu begrenzen, als dies technisch und betrieblich möglich und wirtschaftlich tragbar ist ( Art. 4 Abs. 2 NISV ). Mit diesen zusätzlichen Emissionsbegrenzungen trägt die neue Verordnung dem Vorsorgeprinzip Rechnung ( Art. 1 Abs. 2 und Art. 11 Abs. 2 USG ) und konkretisiert die im Sinne der Vorsorge erforderlichen Massnahmen (vgl. BUWAL, Erläuternder Bericht, S. 7 und 10). c) Wie bereits das Verwaltungsgericht im Einzelnen ausgeführt hat, ergibt sich aus der dargestellten Konzeption, dass Art. 4 NISV die vorsorgliche Emissionsbegrenzung abschliessend regelt und die rechtsanwendenden Behörden nicht im Einzelfall gestützt auf Art. 12 Abs. 2 USG eine noch weitergehende Begrenzung verlangen können. Der Erlass von Anlagegrenzwerten erfolgte gerade in der Absicht, damit im Interesse der Rechtssicherheit festzulegen, BGE 126 II 399 S. 404 was zur vorsorglichen Emissionsbegrenzung erforderlich ist (URS WALKER, Baubewilligung für Mobilfunkantennen; bundesrechtliche Grundlagen und ausgewählte Fragen, BR 2000, S. 8). Es besteht damit die gleiche Rechtslage wie im Bereich der Luftreinhaltung, wo das Mass der vorsorglichen Emissionsbegrenzung ebenfalls abschliessend in der Verordnung umschrieben ist, während beim Lärmschutz die Anordnung vorsorglicher Emissionsbegrenzungen zusätzlich zur Einhaltung der Planungswerte zu prüfen ist ( BGE 124 II 517 E. 4b S. 521 f.). 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