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202</w:t>
      </w:r>
    </w:p>
    <w:p>
      <w:r>
        <w:t>Bundesgericht (BGE), 2000-01-01, DE</w:t>
      </w:r>
    </w:p>
    <w:p>
      <w:r>
        <w:rPr>
          <w:b/>
        </w:rPr>
        <w:t xml:space="preserve">Quelle: </w:t>
      </w:r>
      <w:r>
        <w:t>https://mcp.opencaselaw.ch/entscheid/bge_BGE_126_II_202</w:t>
      </w:r>
    </w:p>
    <w:p>
      <w:r>
        <w:t>FR: ATF 126 II 202</w:t>
      </w:r>
    </w:p>
    <w:p>
      <w:r>
        <w:t>IT: DTF 126 II 202</w:t>
      </w:r>
    </w:p>
    <w:p>
      <w:pPr>
        <w:pStyle w:val="Heading2"/>
      </w:pPr>
      <w:r>
        <w:t>Regeste</w:t>
      </w:r>
    </w:p>
    <w:p>
      <w:r>
        <w:t>Regeste Art. 16 Abs. 2 und 3 lit. a, Art. 32 Abs. 1 SVG; Art. 4a Abs. 1 lit. a VRV; Art. 31 Abs. 2 VZV; Überschreitung der Höchstgeschwindigkeit innerorts; Führerausweisentzug. Fall eines Arztes, der die Höchstgeschwindigkeit innerorts von 50 km/h um 21 km/h überschritten hat. Mangels leichten Verschuldens Führerausweisentzug von einem Monat bestätigt trotz ungetrübten automobilistischen Leumunds und der durch den Entzug bewirkten Erschwerung der Berufsausübung. Hinweis an den Gesetzgeber, das Massnahmenrecht gegebenenfalls so auszugestalten, dass in derartigen Fällen ein bedingter Ausweisentzug oder eine Verwarnung möglich ist.</w:t>
      </w:r>
    </w:p>
    <w:p>
      <w:r>
        <w:t>Regeste Art. 16 al. 2 et 3 let. a, art. 32 al. 1 LCR; art. 4a al. 1 let. a OCR; art. 31 al. 2 OAC; dépassement de la vitesse maximale autorisée dans les localités; retrait du permis de conduire. Cas d'un médecin qui a dépassé de 21 km/h la vitesse maximale autorisée de 50 km/h dans une localité. En l'absence d'une faute légère, le retrait du permis pour une durée d'un mois a été confirmé malgré une réputation sans taches en tant que conducteur et malgré l'exercice de la profession rendu plus difficile. Il appartient au législateur de concevoir, le cas échéant, des mesures permettant de prononcer un retrait de permis avec sursis ou un simple avertissement dans des situations semblables.</w:t>
      </w:r>
    </w:p>
    <w:p>
      <w:r>
        <w:t>Regesto Art. 16 cpv. 2 lett. a, art. 32 cpv. 1 LCStr; art. 4a cpv. 1 lett. a ONC; art. 31 cpv. 2 OAC; superamento della velocità massima consentita nelle località; revoca della licenza di condurre. Caso di un medico che ha superato di 21 km/h la velocità massima di 50 km/h consentita in una località. Vista la gravità della colpa, la revoca della licenza per la durata di un mese è stata confermata, e ciò nonostante la reputazione immacolata dell'interessato quale conducente e le difficoltà che egli riscontrerà nell'esercitare la sua professione. Incombe al legislatore di elaborare, all'occorrenza, delle misure che permettano in simili casi di pronunciare una revoca della licenza sospesa condizionalmente o un semplice ammonimento.</w:t>
      </w:r>
    </w:p>
    <w:p>
      <w:pPr>
        <w:pStyle w:val="Heading2"/>
      </w:pPr>
      <w:r>
        <w:t>Erwägungen</w:t>
      </w:r>
    </w:p>
    <w:p>
      <w:r>
        <w:rPr>
          <w:b/>
        </w:rPr>
        <w:t>E. 1</w:t>
      </w:r>
    </w:p>
    <w:p>
      <w:r>
        <w:t>Der Beschwerdeführer macht sinngemäss geltend, die Anordnung des Führerausweisentzuges verletze Bundesrecht. a) Die Geschwindigkeit ist stets den Umständen anzupassen, namentlich den Besonderheiten von Fahrzeug und Ladung sowie den Strassen-, Verkehrs- und Sichtverhältnissen ( Art. 32 Abs. 1 SVG ; SR 741.01). In Ortschaften beträgt die allgemeine Höchstgeschwindigkeit für Fahrzeuge unter günstigen Strassen-, Verkehrs- BGE 126 II 202 S. 204 und Sichtverhältnissen 50 km/h (Art. 4a Abs. 1 lit. a der Verkehrsregelnverordnung [VRV; SR. 741.11]).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Nach der Rechtsprechung ist bei Überschreitung der allgemeinen Höchstgeschwindigkeit innerorts von 50 km/h um 21 bis 24 km/h ohne Prüfung der konkreten Umstände objektiv zumindest ein mittelschwerer Fall anzunehmen. Diese Rechtsprechung befreit die Entzugsbehörde jedoch nicht von der Pflicht, die Umstände des Einzelfalles genauer zu prüfen. Denn sie hat in allen Fällen des erwähnten Geschwindigkeitsbereichs auch das Ausmass der Gefährdung und des Verschuldens abzuklären und zu gewichten, damit sie entscheiden kann, ob allenfalls ein schwerer Fall ( Art. 16 Abs. 3 lit. a SVG ) vorliegt und welche Entzugsdauer bei einem mittelschweren beziehungsweise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Umgekehrt kommt ein leichter Fall in Betracht, wenn der Lenker aus nachvollziehbaren Gründen gemeint hat, er befinde sich noch nicht oder nicht mehr im BGE 126 II 202 S. 205 Innerortsbereich; unter Umständen entfällt sogar jeder Schuldvorwurf ( BGE 124 II 97 E. 2c). b) Der Beschwerdeführer hat die Höchstgeschwindigkeit innerorts von 50 km/h um 21 km/h überschritten. Es ist somit objektiv zumindest ein mittelschwerer Fall gegeben. Der Beschwerdeführer hatte im kantonalen Verfahren geltend gemacht, er habe gemeint, sich nicht mehr im Innerortsbereich zu befinden. Die Vorinstanz hat den Einwand zurückgewiesen, da der Beschwerdeführer ausgesprochen ortskundig ist. Die Vorinstanz ist eine richterliche Behörde. Ihre Feststellung des Sachverhaltes bindet daher das Bundesgericht, soweit sie den Sachverhalt nicht offensichtlich unrichtig, unvollständig oder unter Verletzung wesentlicher Verfahrensvorschriften festgestellt hat ( Art. 105 Abs. 2 OG ). Dass Letzteres der Fall sei, macht der Beschwerdeführer nicht geltend und ist nicht ersichtlich. Im Gegenteil ergibt sich aus einem bei den Akten befindlichen Schreiben des Beschwerdeführers vom 4. Juli 1999, dass ihm die befahrene Strecke genau bekannt ist. Die Verneinung eines Irrtums über den Innerortsbereich ist somit nicht offensichtlich unrichtig. Wer die Höchstgeschwindigkeit innerorts von 50 km/h um 21 km/h und damit um mehr als 40% überschreitet, tut das in der Regel vorsätzlich, mindestens aber grobfahrlässig. Das Verschulden des Beschwerdeführers wiegt daher nicht leicht. Gemäss Art. 31 Abs. 2 Satz 2 der Verordnung über die Zulassung von Personen und Fahrzeugen zum Strassenverkehr (VZV; SR 741.51) kann nur eine Verwarnung verfügt werden, wenn die Voraussetzungen für den fakultativen Entzug nach Art. 31 Abs. 1 VZV erfüllt sind, der Fall aber unter Berücksichtigung des Verschuldens und des Leumunds als Motorfahrzeugführer als leicht erscheint. Da es an einem leichten Verschulden fehlt, fällt die Annahme eines leichten Falles ausser Betracht, auch wenn der automobilistische Leumund des Beschwerdeführers ungetrübt ist. Besondere Umstände, wie sie in BGE 118 Ib 229 gegeben waren und gegebenenfalls auch bei einem mittelschweren Fall zum Verzicht auf den Ausweisentzug führen können, liegen hier nicht vor. Es handelt sich im Gegenteil um einen Durchschnittsfall. Von einem Führerausweisentzug kann nicht abgesehen werden. Die Dauer des Entzuges hat die Vorinstanz auf das gesetzliche Mindestmass festgesetzt ( Art. 17 Abs. 1 lit. a SVG ). c) Der Beschwerdeführer hat im kantonalen Verfahren geltend gemacht, er fahre seit 43 Jahren unfallfrei. Noch nie habe ihm der Entzug des Führerausweises angedroht werden müssen. Das sei zwar BGE 126 II 202 S. 206 nichts Besonderes, aber doch ein Leistungsausweis. Im Übrigen könne er - er sei Träger des Titels "Facharzt FMH für Allgemeinmedizin" und als Allgemeinpraktiker tätig - ohne Führerausweis in Notfällen seinen ärztlichen Pflichten nicht nachkommen. Wenn man diese Umstände zu Grunde legt, ist einzuräumen, dass der Entzug des Ausweises für die Dauer eines Monats als hart angesehen werden kann. Daran kann jedoch nur der Gesetzgeber etwas ändern, sei es, dass er für Fälle dieser Art auch den bedingten Ausweisentzug vorsieht oder den Anwendungsbereich der Verwarnung bei gutem automobilistischem Leumund ausweitet auf den Bereich des mittelschweren Verschuldens.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