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192</w:t>
      </w:r>
    </w:p>
    <w:p>
      <w:r>
        <w:t>Bundesgericht (BGE), 2000-01-01, DE</w:t>
      </w:r>
    </w:p>
    <w:p>
      <w:r>
        <w:rPr>
          <w:b/>
        </w:rPr>
        <w:t xml:space="preserve">Quelle: </w:t>
      </w:r>
      <w:r>
        <w:t>https://mcp.opencaselaw.ch/entscheid/bge_BGE_126_II_192</w:t>
      </w:r>
    </w:p>
    <w:p>
      <w:r>
        <w:t>FR: ATF 126 II 192</w:t>
      </w:r>
    </w:p>
    <w:p>
      <w:r>
        <w:t>IT: DTF 126 II 192</w:t>
      </w:r>
    </w:p>
    <w:p>
      <w:pPr>
        <w:pStyle w:val="Heading2"/>
      </w:pPr>
      <w:r>
        <w:t>Regeste</w:t>
      </w:r>
    </w:p>
    <w:p>
      <w:r>
        <w:t>Regeste Art. 16 Abs. 2 SVG, Art. 4 Abs. 2 und Art. 4a Abs. 1 lit. a VRV, Art. 31 Abs. 2 VZV; Führerausweisentzug, Abgrenzung des leichten vom mittelschweren Fall. Wer innerorts in einer leichten Kurve eine mit Schneematsch bedeckte Strasse mit 50 km/h befährt, den trifft mindestens ein mittelschweres Verschulden (E. 2b). Bei diesem Verschulden ist die Annahme eines leichten Falles im Sinne von Art. 16 Abs. 2 Satz 2 SVG selbst dann ausgeschlossen, wenn ein langjähriger unbescholtener automobilistischer Leumund mitzubeurteilen ist (E. 2c; Bestätigung der Rechtsprechung).</w:t>
      </w:r>
    </w:p>
    <w:p>
      <w:r>
        <w:t>Regeste Art. 16 al. 2 LCR, art. 4 al. 2 et 4a al. 1 let. a OCR, art. 31 al. 2 OAC; retrait du permis de conduire, limite du cas de peu de gravité avec celui de gravité moyenne. Le conducteur qui circule à une vitesse de 50 km/h dans une localité, sur une chaussée recouverte de neige fondante et dans un léger virage, commet pour le moins une faute de gravité moyenne (consid. 2b). Compte tenu de cette faute, le cas de peu de gravité au sens de l'art. 16 al. 2 seconde phrase LCR est exclu, même si l'intéressé jouit depuis longtemps d'une réputation sans taches en tant que conducteur (consid. 2c; confirmation de la jurisprudence).</w:t>
      </w:r>
    </w:p>
    <w:p>
      <w:r>
        <w:t>Regesto Art. 16 cpv. 2 LCStr, art. 4 cpv. 2 e 4a cpv. 1 lett. a ONC, art. 31 cpv. 2 OAC; revoca della licenza di guida, delimitazione tra il caso di lieve e media entità. A chi circola a una velocità di 50 km/h in una località, su un tratto di strada coperta da neve fondente e leggermente in curva, è imputabile almeno una colpa di media gravità (consid. 2b). Tale colpa esclude il caso di lieve entità di cui all'art. 16 cpv. 2 seconda proposizione LCStr, e ciò nonostante la reputazione dell'interessato, da tempo immacolata, come conducente di veicoli a motore (consid. 2c; conferma della giurisprudenza).</w:t>
      </w:r>
    </w:p>
    <w:p>
      <w:pPr>
        <w:pStyle w:val="Heading2"/>
      </w:pPr>
      <w:r>
        <w:t>Erwägungen</w:t>
      </w:r>
    </w:p>
    <w:p>
      <w:r>
        <w:rPr>
          <w:b/>
        </w:rPr>
        <w:t>E. 1</w:t>
      </w:r>
    </w:p>
    <w:p>
      <w:r>
        <w:t>Die Beschwerdeführerin hat weder im Strafverfahren noch im Beschwerdeverfahren oder im vorinstanzlichen Verfahren den Sachverhalt bestritten. Hinsichtlich der gefahrenen Geschwindigkeit zitiert das Departement des Innern die Aussage der Beschwerdeführerin im Polizeirapport, wonach sie ungefähr mit 60 km/h gefahren sei, und ihre Angabe in der Verwaltungsbeschwerde, wonach ihre Geschwindigkeit mit 50 km/h ermittelt worden sei. Diese Geschwindigkeitsangabe hat sie im kantonalen Verfahren nicht in Frage gestellt. Mit ihrer jetzigen Behauptung, sie sei mit einer Geschwindigkeit von bloss ca. 35-40 km/h gefahren, vermag sie gerade angesichts ihrer eigenen Angaben im kantonalen Verfahren nicht darzulegen, inwiefern die Vorinstanz den Sachverhalt offensichtlich unrichtig festgestellt haben sollte ( Art. 105 Abs. 2 OG ). Dasselbe gilt für die Bestreitung der vorinstanzlichen Feststellung, die Strasse sei mit Schneematsch bedeckt gewesen. Denn gemäss Polizeiprotokoll war die Strasse "schneebedeckt", laut Aussagen der Beschwerdeführerin und des Unfallgegners hatte es "Schneepflotsch" und in ihrer Eingabe vom 14. Februar 1997 an das Strassenverkehrsamt gibt die Beschwerdeführerin selbst an, fünf Minuten nach dem Unfall seien der Schneepflug und der Salzwagen vorbeigefahren und hätten "die Strasse von Schneematsch und Eis" befreit.</w:t>
      </w:r>
    </w:p>
    <w:p>
      <w:r>
        <w:rPr>
          <w:b/>
        </w:rPr>
        <w:t>E. 2</w:t>
      </w:r>
    </w:p>
    <w:p>
      <w:r>
        <w:t>a) Bei der Anordnung von Administrativmassnahmen unterscheidet die Vorinstanz zwischen dem besonders leichten, dem leichten, dem mittelschweren und schweren Fall. Die wesentlichen BGE 126 II 192 S. 194 Kriterien für die Zuordnung seien das Mass der Verkehrsgefährdung und die Schwere des Verschuldens; bei der Beurteilung, ob es sich um einen leichten Fall handle, sei ausserdem der automobilistische Leumund zu berücksichtigen. Die in Anwendung von Art. 16 Abs. 2 SVG (SR 741.01) vorgesehenen Massnahmen müssten sich stets als verhältnismässig erweisen. Die Vorinstanz erachtet die Gefährdung, die die Beschwerdeführerin durch ihre Fahrweise hervorgerufen hat, als schwer. Das Verschulden wiege zumindest mittelschwer, da sie sich vorhalten lassen müsse, die Umstände falsch eingeschätzt und ihre Fahrweise nur ungenügend den konkreten Verhältnissen angepasst zu haben. Zudem weist die Vorinstanz auf eine Alkoholisierung (0,4 Promille) der Beschwerdeführerin hin, weil bereits ab Blutalkoholkonzentrationen von 0,3 bis 0,4 Promille verkehrssicherheitsrelevante Leistungseinbussen nachgewiesen seien. b) Kürzlich hat das Bundesgericht die Rechtsprechung zur Beurteilung des leichten Falles gemäss Art. 16 Abs. 2 SVG geändert: Neben dem Verschulden der Fahrzeuglenkerin und deren automobilistischen Leumund ist die Schwere der Verkehrsgefährdung nur insoweit von Bedeutung, als sie auch verschuldensmässig relevant ist ( BGE 125 II 561 E. 2b). Wie die Vorinstanzen zutreffend festhalten, hat die Beschwerdeführerin, indem sie innerorts mit 50 km/h ins Schleudern geriet und so ihr Fahrzeug nicht mehr unter Kontrolle halten konnte, eine schwere Verkehrsgefährdung verursacht. Denn nach der allgemeinen Lebenserfahrung besteht in solchen Situationen, gerade auch innerorts, ein grosses Risiko von Folgeunfällen, weil das Verhalten eines solchen Fahrzeugs unberechenbar ist. Weder kann eine Automobilistin situationsgerecht auf den übrigen Verkehr reagieren, noch können die anderen Verkehrsteilnehmer das Verhalten eines ins Schleudern geratenen Wagens abschätzen. Zu prüfen bleibt, in welchem Mass die Beschwerdeführerin die Gefährdung auch verschuldet hat. Die allgemeine Höchstgeschwindigkeit innerorts von 50 km/h darf nur unter günstigen Strassen-, Verkehrs- und Sichtverhältnissen ausgefahren werden (Art. 4a Abs. 1 lit. a der Verkehrsregelnverordnung vom 13. November 1962 [VRV; SR 741.11]). Die Fahrzeugführerin hat unter anderem langsam zu fahren, wo die Strasse verschneit und vereist ist ( Art. 4 Abs. 2 VRV ). Das Wissen darum, dass die Schleudergefahr und damit die Unfallgefahr auf verschneiten Strassen gross ist, kann allgemein vorausgesetzt werden. BGE 126 II 192 S. 195 Ebenso bekannt ist der Umstand, dass sich diese Gefahr mit zunehmender Geschwindigkeit und insbesondere beim Kurvenfahren drastisch erhöht. Inwiefern die Beschwerdeführerin diese Zusammenhänge nicht gekannt haben sollte, ist nicht ersichtlich. Gemäss Polizeiprotokoll besitzt das benutzte Fahrzeug keinen Vierradantrieb, oder er war nicht eingeschaltet. Zu Gunsten der Beschwerdeführerin könnte höchstens berücksichtigt werden, dass die Strasse im fraglichen Zeitpunkt nicht mit Schnee, sondern mit Schneematsch bedeckt war. Doch entlastet dies die Beschwerdeführerin nicht wesentlich, weil bei Schneematsch auf Strassen immer auch mit vereisten Stellen gerechnet werden muss. Jedenfalls erlaubten die konkreten Strassenverhältnisse kein Ausfahren der Innerortshöchstgeschwindigkeit und dies erst recht nicht in einer - wenn auch bloss leichten - Kurve. Da die Beschwerdeführerin die schwere Verkehrsgefährdung zum grossen Teil hätte voraussehen können und müssen, hat sie die Gefährdung auch verschuldet. Deshalb ist jedenfalls von einem mittelschweren Verschulden der Beschwerdeführerin auszugehen. c) Unter diesen Umständen ist eine blosse Verwarnung, wie sie die Beschwerdeführerin beantragt, auf Grund der klaren Regelung von Gesetz ( Art. 16 Abs. 2 Satz 2 SVG ) und Verordnung ( Art. 31 Abs. 2 der Verordnung vom 27. Oktober 1976 über die Zulassung von Personen und Fahrzeugen zum Strassenverkehr [VZV; SR 741.51] ) nicht möglich. Denn auch ein langjähriger ungetrübter automobilistischer Leumund kann nur bei leichtem Verschulden zur Anordnung einer Verwarnung anstelle eines Ausweisentzuges führen. Dies mag in Fällen wie hier, wo die Fahrzeugführerin auf Grund des von ihr verschuldeten Unfalls genügend gewarnt sein dürfte, als Härte empfunden werden. Diese Rechtslage kann nur der Gesetzgeber ändern, sei es, dass er für derartige Fälle auch den bedingten Ausweisentzug vorsieht oder den Anwendungsbereich der Verwarnung bei gutem automobilistischem Leumund ausweitet auf den Bereich des mittelschweren Verschuldens. d) Auch die geltend gemachte berufliche Angewiesenheit auf den Führerausweis rechtfertigt es nicht, unter dem Gesichtspunkt der Verhältnismässigkeit auf einen Führerausweisentzug zu verzichten. Damit erweist sich die Beschwerde als unbegründet. Im Übrigen kann auf die Ausführungen im angefochtenen Entscheid verwiesen werden ( Art. 36a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