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82</w:t>
      </w:r>
    </w:p>
    <w:p>
      <w:r>
        <w:t>Bundesgericht (BGE), 2000-01-01, FR</w:t>
      </w:r>
    </w:p>
    <w:p>
      <w:r>
        <w:rPr>
          <w:b/>
        </w:rPr>
        <w:t xml:space="preserve">Quelle: </w:t>
      </w:r>
      <w:r>
        <w:t>https://mcp.opencaselaw.ch/entscheid/bge_BGE_126_III_82</w:t>
      </w:r>
    </w:p>
    <w:p>
      <w:r>
        <w:t>FR: ATF 126 III 82</w:t>
      </w:r>
    </w:p>
    <w:p>
      <w:r>
        <w:t>IT: DTF 126 III 82</w:t>
      </w:r>
    </w:p>
    <w:p>
      <w:pPr>
        <w:pStyle w:val="Heading2"/>
      </w:pPr>
      <w:r>
        <w:t>Regeste</w:t>
      </w:r>
    </w:p>
    <w:p>
      <w:r>
        <w:t>Regeste Fall, wo der Versicherer als Antragsteller auftritt: Anwendung der Regeln über die Mängel des Vertragsabschlusses (Art. 23 ff. OR) oder über die Anzeigepflichtverletzung (Art. 4 ff. VVG)? Geht der Antrag vom Versicherer und nicht vom Versicherungsnehmer aus, beurteilt sich der Abschluss des Vertrages allein nach den Bestimmungen des OR; der Vertrag ist nichtsdestoweniger den Art. 4 ff. VVG unterstellt (E. 3).</w:t>
      </w:r>
    </w:p>
    <w:p>
      <w:r>
        <w:t>Regeste Cas où l'assureur intervient comme proposant du contrat: application des règles sur les vices du consentement (art. 23 ss CO) ou sur la réticence (art. 4 ss LCA)? Lorsque la proposition émane de l'assureur et non pas du preneur, seules les dispositions du Code des obligations régissent la conclusion du contrat; celui-ci n'en est pas moins soumis aux art. 4 ss LCA (consid. 3).</w:t>
      </w:r>
    </w:p>
    <w:p>
      <w:r>
        <w:t>Regesto Caso in cui l'assicuratore interviene come proponente del contratto: applicazione delle disposizioni sui vizi del consenso (art. 23 segg. CO) o sulla reticenza (art. 4 segg. LCA)? Laddove la proposta proviene dall'assicuratore e non dallo stipulante, solo le disposizioni del Codice delle obbligazioni regolano la conclusione del contratto; esso soggiace nondimeno agli art. 4 segg. LCA (consid. 3).</w:t>
      </w:r>
    </w:p>
    <w:p>
      <w:pPr>
        <w:pStyle w:val="Heading2"/>
      </w:pPr>
      <w:r>
        <w:t>Erwägungen</w:t>
      </w:r>
    </w:p>
    <w:p>
      <w:r>
        <w:rPr>
          <w:b/>
        </w:rPr>
        <w:t>E. 3</w:t>
      </w:r>
    </w:p>
    <w:p>
      <w:r>
        <w:t>a) Selon l'autorité cantonale, lorsque l'assureur accepte la proposition du preneur avec retard, soit en l'occurrence après le délai de quatre semaines prévu par l'art. 1 al. 2 de la loi fédérale du 2 avril 1908 sur le contrat d'assurance (LCA; RS 221.229.1), il intervient comme proposant d'un nouveau contrat. Se référant à l' ATF 120 II 133 BGE 126 III 82 S. 84 , elle a jugé que dans un tel cas ce ne sont pas les dispositions de la Loi sur le contrat d'assurance qui s'appliquent, mais uniquement celles du Code des obligations. Dès lors, le demandeur n'était plus obligé, selon la LCA, de continuer à renseigner la défenderesse. La cour cantonale a toutefois considéré, par substitution de motifs, que la résolution du contrat litigieux était valable, car l'assureur avait été victime d'une erreur essentielle; de plus, ledit contrat avait été invalidé dans le délai d'un an de l' art. 31 CO . Le recourant ne conteste pas l'opinion de l'autorité cantonale, selon laquelle seules les règles du Code des obligations sont applicables au contrat conclu entre les parties. Il reproche toutefois à la Cour de cassation de s'être fondée sur les art. 24 et 31 CO , alors que l'intimée ne s'est jamais prévalue d'une quelconque erreur. L'aurait-elle fait, son comportement serait de toute manière contraire aux règles de la bonne foi ( art. 25 CO ), ce que la cour cantonale n'a pas examiné. b) Cette argumentation tombe à faux. A l'instar du demandeur, l'autorité cantonale s'est placée sur le terrain des vices de la volonté; elle s'est ainsi demandée si la défenderesse était sous l'empire d'une erreur essentielle lors de la conclusion du contrat en cause. Or, cette manière de voir est erronée. Dans l'arrêt paru aux ATF 120 II 133 , le Tribunal fédéral a posé, en se référant à KOENIG (Traité de droit privé suisse, vol. VII/2, p. 506), que lorsque la proposition émane de l'assureur et non pas du preneur, ce ne sont pas les art. 1 et 2 LCA qui sont applicables, mais les dispositions du Code des obligations. On ne saurait cependant en déduire que, dans un tel cas de figure, le contrat d'assurance serait soustrait à toutes les dispositions de la LCA. Il convient en effet de replacer la jurisprudence précitée dans son contexte, à savoir celui de la conclusion du contrat. KOENIG ne dit pas autre chose, puisqu'il se réfère uniquement aux art. 3 à 7 CO, applicables selon lui à l'exclusion de l' art. 1 LCA lorsque la proposition émane de l'assureur (à ce sujet, voir aussi KUHN/MONTAVON, Droit des assurances privées, p. 135, 136 et 138; ROELLI/KELLER, Kommentar zum Bundesgesetz über den Versicherungsvertrag, 2e éd., 1968, vol. I, p. 38; MAURER, Schweizerisches Privatversicherungsrecht, 3e éd., 1995, p. 215-216 et n. 444). La doctrine considère cependant que la règle de l' art. 4 LCA vaut également dans le cas où l'assureur intervient comme proposant (ROELLI/KELLER, op. cit., p. 87 et 91). L'autorité cantonale aurait donc dû se prononcer sur une éventuelle réticence du demandeur, au sens des art. 4 ss 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