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59</w:t>
      </w:r>
    </w:p>
    <w:p>
      <w:r>
        <w:t>Bundesgericht (BGE), 1999-01-01, FR</w:t>
      </w:r>
    </w:p>
    <w:p>
      <w:r>
        <w:rPr>
          <w:b/>
        </w:rPr>
        <w:t xml:space="preserve">Quelle: </w:t>
      </w:r>
      <w:r>
        <w:t>https://mcp.opencaselaw.ch/entscheid/bge_BGE_126_III_59</w:t>
      </w:r>
    </w:p>
    <w:p>
      <w:r>
        <w:t>FR: ATF 126 III 59</w:t>
      </w:r>
    </w:p>
    <w:p>
      <w:r>
        <w:t>IT: DTF 126 III 59</w:t>
      </w:r>
    </w:p>
    <w:p>
      <w:pPr>
        <w:pStyle w:val="Heading2"/>
      </w:pPr>
      <w:r>
        <w:t>Regeste</w:t>
      </w:r>
    </w:p>
    <w:p>
      <w:r>
        <w:t>Regeste Kaufvertrag; Beschränkung der Sachgewährleistung des Verkäufers (Art. 197 und 199 OR). Unterscheidung zwischen direkter und indirekter Stellvertretung (E. 1). Die Wegbedingung der Gewährleistung verbietet es dem Käufer, als notwendige Grundlage des Vertrages das Vorhandensein von Sacheigenschaften anzusehen, für die keine Haftung übernommen wurde (Bestätigung der Rechtsprechung; E. 2 und 3). Gültigkeit einer Freizeichnungsklausel unter dem Gesichtspunkt von Art. 199 OR (E. 4). Auslegung einer die Gewährleistung des Verkäufers einschränkenden Klausel nach dem Vertrauensprinzip (E. 5).</w:t>
      </w:r>
    </w:p>
    <w:p>
      <w:r>
        <w:t>Regeste Contrat de vente; limitation de la garantie du vendeur (art. 197 et 199 CO). Distinction entre la représentation directe et indirecte (consid. 1). L'exclusion de la garantie interdit à l'acheteur de considérer comme un élément nécessaire du contrat la présence des qualités de la chose pour lesquelles il n'a pas obtenu de garantie (confirmation de la jurisprudence) (consid. 2 et 3). Validité de la clause limitative de responsabilité au regard de l'art. 199 CO (consid. 4). Interprétation de la clause restreignant la garantie du vendeur selon la théorie de la confiance (consid. 5).</w:t>
      </w:r>
    </w:p>
    <w:p>
      <w:r>
        <w:t>Regesto Contratto di compravendita; limitazione della garanzia del venditore (art. 197 e 199 CO). Distinzione fra rappresentanza diretta e indiretta (consid. 1). L'esclusione della garanzia impedisce al compratore di considerare come un elemento necessario del contratto la presenza di qualità per le quali non ha ottenuto una garanzia (conferma della giurisprudenza) (consid. 2 e 3). Validità della clausola che limita la responsabilità dal profilo dell'art. 199 CO (consid. 4). Interpretazione della clausola che restringe l'obbligo di garanzia del venditore secondo il principio dell'affidamento (consid. 5).</w:t>
      </w:r>
    </w:p>
    <w:p>
      <w:pPr>
        <w:pStyle w:val="Heading2"/>
      </w:pPr>
      <w:r>
        <w:t>Erwägungen</w:t>
      </w:r>
    </w:p>
    <w:p>
      <w:r>
        <w:rPr>
          <w:b/>
        </w:rPr>
        <w:t>E. 1</w:t>
      </w:r>
    </w:p>
    <w:p>
      <w:r>
        <w:t>a)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Ainsi, la reconnaissance de la qualité pour défendre signifie que le demandeur peut faire valoir sa prétention contre le défendeur ( ATF 125 III 82 consid. 1a et l'arrêt cité). Cette question doit en particulier être examinée d'office et librement ( ATF 114 II 345 consid. 3d; ATF 108 II 216 consid. 1 et les références). La cour cantonale, en retenant que les parties sont liées par un contrat de vente au sens des art. 184 ss CO , a implicitement admis BGE 126 III 59 S. 64 que la galerie Z., dans le cadre de la vente du vase de Gallé, avait agi comme simple intermédiaire au sens de l' art. 32 al. 1 CO , autrement dit en qualité de représentante directe de la défenderesse, et non comme partie contractante. C'est ce qu'il convient maintenant d'examiner plus en détail. b) L' art. 32 al. 1 CO dispose que les droits et les obligations dérivant d'un contrat fait au nom d'une autre personne par un représentant autorisé passent au représenté. Il s'ensuit que le représentant n'est pas lié par l'acte accompli.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(arrêt du 26 mars 1996 dans la cause 4C.296/1995, consid. 5c publié in: SJ 1996 p. 556/557 et les références citées). La représentation directe suppose que le représentant agisse expressément ou tacitement au nom du représenté (cf. art. 32 al. 2 CO ). Lorsque le représentant agit en son propre nom, mais pour le compte d'une autre personne, la représentation est dite indirecte ( ATF 100 II 200 consid. III/8a p. 211); le contrat ne lie alors que les parties et ne déploie aucun effet direct sur le représenté, lequel ne peut acquérir de droits ou d'obligations qu'en vertu d'une cession de créance ou d'une reprise de dette postérieure à la conclusion du contrat (cf. art. 32 al. 3 CO ; ATF 100 II 200 consid. III/8a). Si le représentant, comme c'est le cas en l'espèce, a révélé à son cocontractant qu'il n'agissait pas pour son propre compte, la distinction entre la représentation directe et indirecte peut s'avérer délicate. Il y aura représentation directe si le représentant a manifesté son intention d'intervenir pour ou au nom d'un tiers, alors que si le représentant a seulement exprimé sa volonté d'intervenir pour le compte d'un tiers, mais en son propre nom, la représentation sera indirecte, à moins qu'il soit indifférent au tiers de traiter avec le représentant ou le représenté. Comme, l'expression "pour le compte d'un tiers" n'est pas forcément claire dans la pratique, elle doit être interprétée en application du principe de la confiance (arrêt du 12 novembre 1997 dans la cause 4C.206/1997 consid. 2b publié in: SJ 1998 p. 224/225 et les références). c) Selon l'état de fait déterminant, le contrat de vente du 4 décembre 1990, signé par la demanderesse et un responsable de la galerie Z., stipule en préambule que celle-ci agit d'ordre et pour le compte d'une cliente connue de la galerie. La galerie d'arts en question BGE 126 III 59 S. 65 ne s'est toutefois pas immiscée dans la transaction en négociant en son nom le contrat de vente précité. Elle s'est bornée à encaisser, au nom de la défenderesse, le prix de vente de 400'000 fr. auquel cette dernière avait souhaité parvenir et à livrer le vase à la demanderesse le jour même du paiement du second acompte, soit le 31 janvier 1991. La galerie Z. a donc prêté son concours à l'intimée pour passer la vente en cause, cela sans disposer d'aucune autonomie. Partant, il apparaît que la galerie d'arts n'a agi qu'en tant que représentante directe de la personne propriétaire du vase, laquelle doit assumer toutes les obligations du vendeur. La demanderesse pouvait donc valablement s'en prendre à la défenderesse, qui a la légitimation passive.</w:t>
      </w:r>
    </w:p>
    <w:p>
      <w:r>
        <w:rPr>
          <w:b/>
        </w:rPr>
        <w:t>E. 2</w:t>
      </w:r>
    </w:p>
    <w:p>
      <w:r>
        <w:t>a)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ATF 117 II 256 consid. 2a).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ceux de la décision cantonale ( art. 63 al. 3 OJ ; ATF 123 III 246 consid. 2; ATF 122 III 150 consid. 3). b) Invoquant une violation des art. 18, 197 et 199 CO , la recourante reproche à la cour cantonale d'avoir apprécié de manière erronée les clauses du contrat de vente; singulièrement, les magistrats vaudois se seraient mépris sur la portée de la clause "concernant une garantie dite antérieure", qu'ils n'auraient pas mise en relation avec la déclaration de la défenderesse du 29 novembre 1990, selon laquelle le vase était authentique et en parfait état. La recourante allègue qu'elle a été victime d'une erreur sur la base nécessaire du contrat, ce qui justifierait l'annulation de la vente en vertu de l' art. 24 al. 1 ch. 4 CO . En outre, le vase qui lui a été livré constituerait un aliud, en sorte qu'elle serait également en droit de se prévaloir de l'erreur sur la chose au sens de l' art. 24 al. 1 ch. 2 CO . La demanderesse fait encore grief à la Cour civile d'avoir été beaucoup trop exigeante à son endroit en ce qui concerne l'attention requise de l'acheteur au sens de l' art. 200 CO , puisque l'expertise a établi que l'altération de BGE 126 III 59 S. 66 la forme du vase était très difficile à déceler. Enfin, à suivre la demanderesse, le contexte de l'affaire montrerait clairement qu'elle ne se prévaut pas de son erreur contrairement aux règles de la bonne foi, ce qui exclurait toute application de l' art. 25 CO .</w:t>
      </w:r>
    </w:p>
    <w:p>
      <w:r>
        <w:rPr>
          <w:b/>
        </w:rPr>
        <w:t>E. 3</w:t>
      </w:r>
    </w:p>
    <w:p>
      <w:r>
        <w:t>L'issue du litige dépend de la portée qu'il convient d'attribuer à la clause d'exclusion de garantie adoptée par les parties dans le contrat de vente du 4 décembre 1990, laquelle stipule que "toute garantie antérieure est exclue". En effet, l'exclusion conventionnelle de certaines qualités déterminées de la chose vendue, à supposer qu'elle soit admissible à la lumière de l' art. 199 CO , fait obstacle aux droits que l'acheteur peut déduire du régime légal de la garantie pour les défauts ( art. 197 ss CO ). En outre, selon une jurisprudence déjà ancienne ( ATF 91 II 275 consid. 2b) approuvée par la doctrine (cf. HANS GIGER, Commentaire bernois, n. 25 ad art. 199 CO ; HEINRICH HONSELL, Commentaire bâlois, n. 5 ad art. 199 CO ), l'acheteur qui accepte de conclure la vente malgré la présence d'une clause de ce type assume le risque que soient absentes les qualités de la chose pour lesquelles il n'a pas obtenu de garantie, de sorte que la loyauté commerciale ne lui permet plus de considérer la présence de telles qualités comme un élément nécessaire du contrat et d'invoquer sur ce point l'erreur de base instaurée par l' art. 24 al. 1 ch. 4 CO . Il n'y a pas lieu de revenir sur cette jurisprudence, sous peine de retirer tout effet pratique aux clauses d'exclusion de garantie, auxquelles l'acheteur pourrait toujours échapper (cf. HANS GIGER, op. cit., n. 24 ad art. 199 CO ). Autrement dit, selon ce que recouvre l'exclusion de garantie susmentionnée, la demanderesse ne pourra ni faire valoir les droits spécifiques que les art. 205 à 209 CO reconnaissent à l'acheteur ni invalider la vente pour erreur qualifiée sur les motifs. Quant à l'erreur sur la chose (error in corpore; art. 24 al. 1 ch. 2 CO ), quoi qu'en pense la recourante, elle n'entre pas en ligne de compte in casu, dès lors que le vase qu'elle a acheté était réellement, comme il était spécifié dans le contrat, une oeuvre authentique de Gallé appartenant à la série dite "vase de tristesse". Or, seule la méprise portant sur l'identité de la chose constitue ce cas d'erreur (par. ex. livraison d'un aliud à l'acheteur), mais nullement celle afférente à certaines qualités ou propriétés d'une chose individualisée ( ATF 57 II 284 consid. 2 p. 288; BRUNO SCHMIDLIN, Commentaire bernois, n. 410 à 412 ad art. 23/24 CO; INGEBORG SCHWENZER, Commentaire bâlois, n. 12 ad art. 24 CO ). BGE 126 III 59 S. 67</w:t>
      </w:r>
    </w:p>
    <w:p>
      <w:r>
        <w:rPr>
          <w:b/>
        </w:rPr>
        <w:t>E. 4</w:t>
      </w:r>
    </w:p>
    <w:p>
      <w:r>
        <w:t>a) A propos de la validité des clauses exclusives ou limitatives de la responsabilité, l' art. 199 CO prévoit que toute clause qui supprime ou restreint la garantie est nulle si le vendeur a frauduleusement dissimulé à l'acheteur les défauts de la chose. La controverse sur le point de savoir si de telles clauses doivent également respecter la règle générale de l' art. 100 al. 1 CO n'a pas à être tranchée en l'espèce (cf. HANS GIGER, op. cit., n. 6 ad art. 199 CO ). De plus, ces clauses ne sauraient être invoquées à l'encontre d'un défaut de la chose vendue totalement étranger aux éventualités qu'un acheteur raisonnable doit prendre en compte ( ATF 107 II 161 consid. 6d; ATF 72 II 267 consid. 3 p. 269). b) En l'occurrence, il a été constaté définitivement ( art. 63 al. 2 OJ ) que la défenderesse n'a pas eu connaissance de l'altération subie par le vase avant qu'elle en devienne propriétaire. Profane en matière d'art en général, elle n'avait en outre aucune raison de douter des qualités de l'objet que lui avait donné sa soeur. Partant, l'intimée n'a pas sciemment celé des vices rédhibitoires. Elle n'a pas non plus délibérément attribué à la chose vendue des qualités inexistantes, puisque le vase acquis par la demanderesse, décrit dans le contrat comme "vase de tristesse", est bel et bien une oeuvre du verrier Gallé. La clause d'exclusion convenue par les parties est donc valable au regard de l' art. 199 CO . c) On ne saurait en outre considérer que les altérations de forme qui résultent des travaux réalisés sur le vase de Gallé afin de faire disparaître une fissure ne pouvaient être raisonnablement attendues par l'acheteuse. De fait, il s'agissait d'un vase conçu en 1903, dont on ignorait combien de personnes, avant la soeur de la défenderesse, en avaient eu la maîtrise effective ainsi que les conditions dans lesquelles l'objet avait été entreposé. Dans ces circonstances, la clause restreignant la garantie figurant dans le contrat de vente ne saurait être déclarée non-valable en raison de la nature du défaut.</w:t>
      </w:r>
    </w:p>
    <w:p>
      <w:r>
        <w:rPr>
          <w:b/>
        </w:rPr>
        <w:t>E. 5</w:t>
      </w:r>
    </w:p>
    <w:p>
      <w:r>
        <w:t>a) La détermination de la portée d'une clause excluant ou limitant la responsabilité du vendeur ressortit à l'interprétation du contrat ( ATF 109 II 24 consid. 4). Dans la mesure où la volonté réelle et commune des parties n'a pas pu être constatée, la clause en question doit être interprétée selon la théorie de la confiance (HANS GIGER, op. cit., n. 10 ad art. 199 CO ). Comme la clause doit exprimer clairement la volonté des parties, elle doit être interprétée restrictivement ( ATF 109 II 24 ibidem ; ATF 91 II 344 consid. 2a). b) En l'espèce, la cour cantonale n'a en aucun cas déterminé la volonté réelle des parties au sujet de la portée de la clause limitative BGE 126 III 59 S. 68 de responsabilité litigieuse; elle s'est manifestement efforcée d'interpréter les déclarations faites, telles qu'elles pouvaient et devaient être comprises de bonne foi par leur destinataire en fonction de l'ensemble des circonstances (application du principe de la confiance: ATF 123 III 16 consid. 4b, 165 consid. 3a). Une telle interprétation est une question de droit, que le Tribunal fédéral peut revoir librement dans le cadre d'un recours en réforme ( ATF 123 III 165 consid. 3a; ATF 122 III 106 consid. 5a, 420 consid. 3a). c) L'exclusion de garantie stipulée dans le contrat du 4 décembre 1990 a la teneur suivante: "Toute garantie antérieure est exclue". L'adjectif "antérieure" se rapporte manifestement à la phrase précédente de la convention, par laquelle la venderesse déclare confirmer que, pendant la période où elle a détenu le vase, celui-ci n'a été ni endommagé ni réparé. En d'autres termes, la défenderesse a exclu toute garantie pour un endommagement ou une réparation qui seraient survenus avant qu'elle ait eu la maîtrise effective de l'objet. Le sens de la déclaration de volonté de l'intimée ne pouvait, de bonne foi, qu'être compris de la sorte; il n'est en aucune façon infirmé par une constatation ou un élément ressortant du contexte de l'espèce ni par des circonstances permettant de dire qu'il ne correspondrait pas à la volonté commune des parties. Il résulte des faits retenus souverainement en instance cantonale que le vase n'a pas été endommagé ou réparé pendant les quelque neuf mois où il a été détenu par la défenderesse ou sa mandataire, la galerie Z. Mais, auparavant, à des dates indéterminées, l'objet a subi une détérioration en ce sens qu'une fissure est apparue au niveau du col et qu'un tiers a fait disparaître la lézarde en coupant le vase de 2,6 cm dans sa partie supérieure. Selon le sens ordinaire des mots, avant que le vase n'entrât dans le patrimoine de l'intimée, il a été endommagé puis réparé, même si cette dernière opération a fait perdre à l'oeuvre d'art la quasi-totalité de sa valeur marchande. Les parties devaient avoir envisagé ces circonstances lorsqu'elles sont convenues que la garantie de la venderesse ne s'appliquerait pas dans cette hypothèse. Cette façon de voir est corroborée par l'attitude de la demanderesse, laquelle est intervenue pour faire modifier le texte de la clause limitative de responsabilité. En donnant son assentiment à la clause telle qu'elle a été finalement stipulée dans le contrat de vente, la recourante, qui a refusé de s'entourer de l'avis d'un expert, s'est fiée à ses propres connaissances en matière d'Art nouveau. Partant, elle a pris le risque que le vase ait pu subir une réparation quand la défenderesse n'en était pas encore propriétaire. Il ne change rien à l'affaire que le contrat précisait que l'objet vendu se trouvait "dans un état exempt de défauts". Il s'agissait là uniquement de la manifestation d'une représentation que la venderesse se faisait de bonne foi du vase. Or, cette dernière était en droit d'exclure sa garantie pour le cas où cette représentation se révélerait ultérieurement inexacte (cf. PIERRE CAVIN, La vente - L'échange - La donation, in: Traité de droit privé suisse, Tome VII, 1, p.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