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293</w:t>
      </w:r>
    </w:p>
    <w:p>
      <w:r>
        <w:t>Bundesgericht (BGE), 2000-01-01, FR</w:t>
      </w:r>
    </w:p>
    <w:p>
      <w:r>
        <w:rPr>
          <w:b/>
        </w:rPr>
        <w:t xml:space="preserve">Quelle: </w:t>
      </w:r>
      <w:r>
        <w:t>https://mcp.opencaselaw.ch/entscheid/bge_BGE_126_III_293</w:t>
      </w:r>
    </w:p>
    <w:p>
      <w:r>
        <w:t>FR: ATF 126 III 293</w:t>
      </w:r>
    </w:p>
    <w:p>
      <w:r>
        <w:t>IT: DTF 126 III 293</w:t>
      </w:r>
    </w:p>
    <w:p>
      <w:pPr>
        <w:pStyle w:val="Heading2"/>
      </w:pPr>
      <w:r>
        <w:t>Regeste</w:t>
      </w:r>
    </w:p>
    <w:p>
      <w:r>
        <w:t>Regeste Frist der Arrestprosequierung (Art. 279 Abs. 1 SchKG). Der Gläubiger muss, auf die Gefahr hin, dass der Arrest dahinfällt, diesen innert zehn Tagen vom Moment an, da er die Arresturkunde erhalten hat, prosequieren; ob der Schuldner diese Urkunde ebenfalls erhalten hat, ist nicht massgeblich.</w:t>
      </w:r>
    </w:p>
    <w:p>
      <w:r>
        <w:t>Regeste Délai de validation du séquestre (art. 279 al. 1 LP). Le créancier doit, sous peine de caducité du séquestre, entreprendre de valider celui-ci dans les dix jours à compter du moment où il a, lui, reçu le procès-verbal, que le débiteur ait ou non aussi reçu cet acte.</w:t>
      </w:r>
    </w:p>
    <w:p>
      <w:r>
        <w:t>Regesto Termine per la convalida del sequestro (art. 279 cpv. 1 LEF). Il creditore deve provvedere a convalidare il sequestro entro dieci giorni dal momento in cui ha ricevuto il verbale, pena la decadenza del sequestro, e ciò indipendentemente dal fatto che il debitore abbia o no ricevuto tale atto.</w:t>
      </w:r>
    </w:p>
    <w:p>
      <w:pPr>
        <w:pStyle w:val="Heading2"/>
      </w:pPr>
      <w:r>
        <w:t>Erwägungen</w:t>
      </w:r>
    </w:p>
    <w:p>
      <w:r>
        <w:rPr>
          <w:b/>
        </w:rPr>
        <w:t>E. 1</w:t>
      </w:r>
    </w:p>
    <w:p>
      <w:r>
        <w:t>Selon les termes clairs de l'art. 279 al. 1 LP, le créancier séquestrant doit valider le séquestre, par une poursuite ou par une action, dans les dix jours à compter de la réception du procès-verbal. Si le créancier laisse écouler ce délai, les effets du séquestre cessent de plein droit (art. 280 ch. 1 LP; cf. BERTRAND REEB, Les mesures provisoires dans la procédure de poursuite, in: RDS 116/1997 II p. 485 s.). L'opposition à l'ordonnance de séquestre selon l'art. 278 LP et la validation du séquestre selon l'art. 279 LP sont soumis au même délai de dix jours. Bien souvent, toutefois, ce délai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l'art. 280 LP (cf. WALTER A. STOFFEL, Das neue Arrestrecht, in: PJA 1996, p. 1411 ch. 3 in fine; VINCENT JEANNERET, Aperçu de la validité du séquestre, sous l'angle de la nouvelle LPDF, in: Le séquestre selon la nouvelle LP, Publications du Centre d'études juridiques européennes, Genève, 1997, p. 95; JAEGER/WALDER/KULL/KOTTMANN, BGE 126 III 293 S. 294 SchKG, 4e éd. 1997/99, n. 32 ad art. 278; HANS REISER, in: Kommentar zum Bundesgesetz über Schuldbetreibung und Konkurs, n. 2 ad art. 279; AMONN/GASSER, Grundriss des Schuldbetreibungs- und Konkursrechts, 6e éd., Berne 1997, § 51 n. 89). En l'espèce, le procès-verbal de séquestre a été notifié à la recourante le 18 novembre 1999. Celle-ci devait donc valider le séquestre dans les dix jours dès cette date, que le débiteur ait ou non été informé de la procédure de séquestre. Il est constant que la recourante n'a pas entrepris de démarche en vue d'une validation dans le délai légal. Les effets du séquestre ont donc cessé de plein droit (art. 280 LP), ce qui suffit en soi à sceller le sort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