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278</w:t>
      </w:r>
    </w:p>
    <w:p>
      <w:r>
        <w:t>Bundesgericht (BGE), 2000-01-01, FR</w:t>
      </w:r>
    </w:p>
    <w:p>
      <w:r>
        <w:rPr>
          <w:b/>
        </w:rPr>
        <w:t xml:space="preserve">Quelle: </w:t>
      </w:r>
      <w:r>
        <w:t>https://mcp.opencaselaw.ch/entscheid/bge_BGE_126_III_278</w:t>
      </w:r>
    </w:p>
    <w:p>
      <w:r>
        <w:t>FR: ATF 126 III 278</w:t>
      </w:r>
    </w:p>
    <w:p>
      <w:r>
        <w:t>IT: DTF 126 III 278</w:t>
      </w:r>
    </w:p>
    <w:p>
      <w:pPr>
        <w:pStyle w:val="Heading2"/>
      </w:pPr>
      <w:r>
        <w:t>Regeste</w:t>
      </w:r>
    </w:p>
    <w:p>
      <w:r>
        <w:t>Regeste Art. 46 Abs. 1 VVG; Beginn der Verjährung der Ansprüche des Versicherten bei Diebstahl. Bei der Diebstahlversicherung beginnt die Verjährung gemäss Art. 46 Abs. 1 VVG ab dem Schadenereignis und nicht ab dessen Kenntnis zu laufen.</w:t>
      </w:r>
    </w:p>
    <w:p>
      <w:r>
        <w:t>Regeste Art. 46 al. 1 LCA; dies a quo de la prescription des prétentions de l'assuré dans l'assurance vol. En matière d'assurance vol, la prescription de l'art. 46 al. 1 LCA commence à courir dès la survenance du sinistre, et non pas dès la connaissance de celui-ci.</w:t>
      </w:r>
    </w:p>
    <w:p>
      <w:r>
        <w:t>Regesto Art. 46 cpv. 1 LCA; inizio della decorrenza del termine di prescrizione per le pretese dell'assicurato in caso di furto. Nell'ambito dell'assicurazione contro i furti il termine di prescrizione di cui all'art. 46 cpv. 1 LCA inizia a decorrere dal momento in cui il sinistro si verifica e non da quando se ne prende conoscenza.</w:t>
      </w:r>
    </w:p>
    <w:p>
      <w:pPr>
        <w:pStyle w:val="Heading2"/>
      </w:pPr>
      <w:r>
        <w:t>Erwägungen</w:t>
      </w:r>
    </w:p>
    <w:p>
      <w:r>
        <w:rPr>
          <w:b/>
        </w:rPr>
        <w:t>E. 7</w:t>
      </w:r>
    </w:p>
    <w:p>
      <w:r>
        <w:t>Le recourant soutient enfin que la cour de justice a violé l' art. 46 al. 1 LCA en retenant comme début du délai le jour de la survenance du sinistre. Selon lui, le délai légal en cause ne commence à courir qu'au moment où l'assuré a ou devait avoir connaissance du vol. a) Le Tribunal fédéral ne s'est jamais prononcé sur le dies a quo de la prescription des prétentions de l'assuré dans l'assurance vol. Il n'a donc jamais déterminé si le "fait d'où naît l'obligation" de l'assureur de fournir la prestation promise est la seule survenance du vol ou s'il faut en plus, comme le soutient le recourant, que l'assuré ait connaissance du cas de sinistre. Dans certains domaines, le Tribunal fédéral a retenu que la prescription de l' art. 46 al. 1 LCA ne commençait pas à courir dès la survenance du sinistre, mais ultérieurement. Ainsi, dans l'assurance responsabilité civile, le "fait d'où naît l'obligation" n'est pas l'événement dommageable, mais la condamnation définitive et exécutoire de l'assuré à verser une indemnité au lésé, ce afin que les prétentions contre l'assureur ne se prescrivent pas pendant la durée du procès entre l'assuré et le lésé ( ATF 61 II 197 ). Dans l'assurance accidents, la prescription relative aux prestations dues en cas de décès ne commence à courir qu'à partir du décès de l'assuré ( ATF 100 II 42 consid. 2) et la prescription des prestations dues en cas d'invalidité ne débute que dès la survenance de celle-ci ( ATF 118 II 447 consid. 2b p. 454 s.). Dans ces deux arrêts, la cour a précisé que si le "fait d'où naît l'obligation" était l'accident et que le décès, respectivement BGE 126 III 278 S. 280 l'invalidité, survînt plus de deux ans après celui-ci, l'action serait prescrite avant d'être née, ce qui serait inadmissible. En matière d'assurance de protection juridique, en revanche, le "fait d'où naît l'obligation" est la réalisation du risque, qui correspond à l'apparition du besoin d'assistance, ce point de départ de la prescription n'exposant pas l'assuré aux inconvénients relevés dans les arrêts cités ci-dessus (ATF ATF 119 II 468 consid. 2c p. 470). Il en va de même dans l'assurance incendie: le délai de prescription de l' art. 46 al. 1 LCA commence à courir avec la survenance de l'incendie ( ATF 75 II 227 consid. 2). Dans l'ensemble, cette jurisprudence montre que le "fait d'où naît l'obligation" ne se confond pas avec la survenance du sinistre lorsque cet événement ne donne pas à lui seul droit à la prestation de l'assureur, celle-ci n'étant due que si le sinistre engendre un autre fait précis, à savoir: dans l'assurance accident, le décès ou l'invalidité; dans l'assurance responsabilité civile, la détermination de la dette de l'assuré envers le lésé. Tel n'est pas le cas en matière d'assurance vol: l'obligation de l'assureur naît au moment de la survenance du sinistre, le vol. La jurisprudence ne permet pas de conclure que, dans cette assurance, la prescription ne commencerait à courir que dès le moment où l'assuré a connaissance du cas de sinistre. b) On admet en doctrine que le début de la prescription prévue par l' art. 46 al. 1 LCA ne dépend pas de la connaissance du "fait d'où naît l'obligation", soit du sinistre, par l'ayant droit (HANS ROELLI, Kommentar zum Schweizerischen Bundesgesetz über den Versicherungsvertrag, vol. 1, 1914, n. 3b ad art. 46; MAX KELLER/KARL TÄNNLER, Kommentar zum schweizerischen Bundesgesetz über den Versicherungsvertrag, Vol. I, p. 668 s.). SPIRO défend ce point de vue en matière d'assurance contre les dommages (KARL SPIRO, Zur Verjährung des Ersatzanspruchs aus Schadensversicherung, in: Mélanges Pierre Engel, Lausanne 1989, p. 371 ss., spéc. 374 s.; cf. aussi ALFRED MAURER, Schweizerisches Privatversicherungsrecht, 3e éd., p. 292, qui ne prend pas position). SUTER soutient, en matière d'assurance vol, l'avis de ROELLI, KELLER et SPIRO (HANS RUDOLF SUTER, Allgemeine Bedingungen der Diebstahl-Versicherung, Berne 1978, p. 203 s.). Il y a toutefois des avis divergents. Ainsi THALMANN, s'il préconise, en matière d'assurance contre le vol avec effraction, que la prescription commence à courir le jour de l'effraction, qui peut être facilement constatée en général, estime déterminante, en cas de doute, la date à laquelle l'effraction a été découverte; de même en matière BGE 126 III 278 S. 281 de vol simple, le dies a quo est le jour du vol et, en cas de doute, la date de la découverte de celui-ci (ERNST A. THALMANN, Die Verjährung im Privatversicherungsrecht, thèse Zurich 1940, p. 160). Selon PÉTERMANN, le "fait d'où naît l'obligation" ne peut être considéré comme réalisé avant que l'ayant droit n'ait connu ou tout au moins dû connaître non seulement le sinistre, mais encore ses effets, soit l'étendue approximative du dommage qui en est résulté (P. PÉTERMANN, La prescription des actions, in: RSA 1959/60, p. 299, 353, 395, spéc. p. 305 ss., 353, 396). Concernant l'assurance choses, MEUWLY estime que la prescription biennale de l' art. 46 al. 1 LCA commence à courir au moment où l'assuré a effectivement connaissance ou aurait pu ou dû avoir connaissance de sa qualité d'ayant droit, de l'existence du sinistre particulier ainsi que de l'importance - même sommaire - de son dommage (JEAN BENOÎT MEUWLY, La durée de la couverture d'assurance privée, Fribourg 1994, p. 344, 440). Ces derniers auteurs, comme le recourant, interprètent la notion de "fait d'où naît l'obligation" de manière à éviter que le droit au dédommagement de l'assuré envers l'assureur puisse se prescrire avant que le vol n'ait été découvert ou connu de l'assuré. On relève toutefois, d'une part, qu'une telle interprétation est contraire à la volonté du législateur selon laquelle le délai de prescription ne devait commencer à courir ni avec l'échéance de la prestation de l'assureur selon l' art. 41 LCA , ni avec l'échéance selon les principes du CO, ni avec la connaissance des faits décisifs pour la naissance de la prétention, mais à un moment plus précis (cf. ATF 118 II 447 consid. 2b p. 455 et les références; ATF 68 II 106 ); d'autre part, l'interprétation traditionnelle, selon laquelle la prescription commence à courir dès la survenance du sinistre, n'empêche pas l'assuré diligent d'éviter que sa créance se prescrive avant qu'il en ait connaissance. Il suffit en effet qu'il contrôle ou fasse contrôler régulièrement l'état des biens assurés, ce qui lui permet de constater un éventuel vol avant que son droit à l'indemnité découlant du contrat d'assurance vol ne soit prescrit ou périmé. Ainsi, il y a lieu de retenir qu'il incombe à l'assuré ou à l'ayant droit de vérifier régulièrement l'état des objets assurés afin de découvrir un éventuel vol. S'il néglige cette incombance, il s'expose à la prescription ou péremption de ses droits découlant du contrat d'assurance. En conclusion, il y a lieu de retenir que la prescription de l' art. 46 al. 1 LCA en matière d'assurance vol commence à courir dès la survenance du sinistre. BGE 126 III 278 S. 282 c) En l'espèce, la clause de péremption stipulée prévoit que les droits contre l'assureur s'éteignent si on ne les fait pas valoir en justice dans les deux ans qui suivent la survenance du sinistre. Cette clause indique sans équivoque que le dies a quo de la péremption se situe au moment du vol. Le délai de péremption contractuel et le délai de prescription légal commençant à courir simultanément, la clause de péremption contractuelle est valable au regard de l' art. 46 al. 2 LCA . La cour de justice n'a dès lors pas violé le droit fédéral en appliquant cette clause et en jugeant que l'action du recourant était périmée.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