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223</w:t>
      </w:r>
    </w:p>
    <w:p>
      <w:r>
        <w:t>Bundesgericht (BGE), 2000-01-01, DE</w:t>
      </w:r>
    </w:p>
    <w:p>
      <w:r>
        <w:rPr>
          <w:b/>
        </w:rPr>
        <w:t xml:space="preserve">Quelle: </w:t>
      </w:r>
      <w:r>
        <w:t>https://mcp.opencaselaw.ch/entscheid/bge_BGE_126_III_223</w:t>
      </w:r>
    </w:p>
    <w:p>
      <w:r>
        <w:t>FR: ATF 126 III 223</w:t>
      </w:r>
    </w:p>
    <w:p>
      <w:r>
        <w:t>IT: DTF 126 III 223</w:t>
      </w:r>
    </w:p>
    <w:p>
      <w:pPr>
        <w:pStyle w:val="Heading2"/>
      </w:pPr>
      <w:r>
        <w:t>Regeste</w:t>
      </w:r>
    </w:p>
    <w:p>
      <w:r>
        <w:t>Regeste Immissionen aus dem Betrieb eines Hotels/Restaurants (Art. 684 ZGB). Verhältnis zwischen privatrechtlichem und öffentlichrechtlichem Immissionsschutz; Bedeutung öffentlichrechtlicher Vorschriften bei der Ermittlung der Zumutbarkeit von Einwirkungen (E. 3). Unzulässigkeit regelmässiger Lärmimmissionen über der Weckschwelle nach Mitternacht im Dorfkern (E. 4).</w:t>
      </w:r>
    </w:p>
    <w:p>
      <w:r>
        <w:t>Regeste Immissions provenant de l'exploitation d'un hôtel/restaurant (art. 684 CC). Rapport entre la protection de droit privé et la protection de droit public contre les immissions; importance des prescriptions de droit public pour fixer la tolérance en matière d'immissions (consid. 3). Inadmissibilité d'immissions de bruit régulières dépassant le seuil de réveil après minuit au centre d'un village (consid. 4).</w:t>
      </w:r>
    </w:p>
    <w:p>
      <w:r>
        <w:t>Regesto Immissioni provenienti dall'esercizio di un albergo/ristorante (art. 684 CC). Relazione fra la protezione da immissioni del diritto privato e quella del diritto pubblico; rilevanza delle norme di diritto pubblico nella determinazione delle emissioni tollerabili (consid. 3). Inammissibilità di immissioni regolari di rumori, che superano il limite che provoca il risveglio, nel nucleo del villaggio dopo mezzanotte (consid. 4).</w:t>
      </w:r>
    </w:p>
    <w:p>
      <w:pPr>
        <w:pStyle w:val="Heading2"/>
      </w:pPr>
      <w:r>
        <w:t>Erwägungen</w:t>
      </w:r>
    </w:p>
    <w:p>
      <w:r>
        <w:rPr>
          <w:b/>
        </w:rPr>
        <w:t>E. 3</w:t>
      </w:r>
    </w:p>
    <w:p>
      <w:r>
        <w:t>a) Nach Auffassung der Beklagten hat das Obergericht Bundesrecht verletzt, weil es für die Beurteilung der Übermässigkeit der Lärmimmissionen die massgebliche Zonenordnung nicht miteinbezogen habe. Gemäss Art. 30 Abs. 5 des Baureglements von X. vom 19. Mai 1995 gehörten die fraglichen Grundstücke zur Dorfkernzone II. Für diese sei die Lärmempfindlichkeitsstufe III massgebend, die Belastungsgrenzwerte für den Strassenlärm von 65 dB(A) tagsüber und 55 dB(A) nachts vorsehe. Im Rahmen der Interessenabwägung hätte das Obergericht deshalb berücksichtigen müssen, dass aus öffentlichrechtlicher Sicht selbst nachts ein nicht unerheblicher Lärmpegel geduldet werden müsse. c) Aus den Erwägungen des Obergerichts wird deutlich, dass dieses keineswegs abgelehnt hat, das öffentlich-rechtliche Lärmregime in die Beurteilung einzubeziehen. Es hat vielmehr darauf hingewiesen, dass die öffentlichrechtlichen Schranken im Rahmen einer Gesamtsicht mitzuberücksichtigen seien, aber nicht direkt Anwendung finden könnten, zumal das öffentliche Recht für die hier interessierende Lärmart keine Messweise und auch keine Grenzwerte kenne. Der privatrechtliche und der öffentlichrechtliche Immissionsschutz stehen an sich selbstständig nebeneinander ( BGE 95 I 193 E. 3 S. 197; BGE 83 II 384 E. b S. 389 f.; Urteil des Bundesgerichts vom 5. Januar 1996 i.S. Z. [5C.249/1994], E. 6, auszugsweise publiziert in URP 1996 S. 338; MEIER-HAYOZ, Berner Kommentar, N. 261 ff. zu Art. 684 ZGB ; ZÄCH, Kommentar USG, N. 37 zu Art. 20 USG ). Dennoch bestehen zwischen den beiden Regelungen Berührungspunkte und Überschneidungen. Insbesondere wenn das nach Lage, Beschaffenheit und Ortsgebrauch gerechtfertigte und zu duldende Mass von Einwirkungen zu ermitteln ist ( Art. 684 Abs. 2 ZGB ), können öffentlichrechtliche Vorschriften eine Rolle spielen (Bau- und Zonenvorschriften, Normen betreffend Lärmschutz, Luftreinhaltung, Strahlen und Erschütterung). Diese gehen freilich von anderen Referenzgrössen aus (Berücksichtigung von Personengruppen mit erhöhter Empfindlichkeit im Umweltschutzrecht [Art. 13 Abs. 2 des Umweltschutzgesetzes vom 7. Oktober 1983; USG, SR 814.01] gegenüber dem Massstab des Durchschnittsmenschen im Privatrecht BGE 126 III 223 S. 226 [ BGE 119 II 411 E. 4c S. 416]), legen allgemeine Standards fest im Gegensatz zur rein einzelfallbezogenen Beurteilung des Privatrechts und schützen auch nicht so umfassend vor Immissionen wie dieses (z.B. kein Schutz vor ideellen Immissionen). Demgegenüber ist dem Privatrecht das umweltrechtliche Vorsorgeprinzip ( Art. 11 Abs. 2 USG ) unbekannt. Derartigen Unterschieden ist Rechnung zu tragen, was ein Abstellen auf das öffentlichrechtlich Zulässige im Rahmen des privatrechtlichen Immissionsschutzes in zahlreichen Fällen von vornherein ausschliesst. Dennoch verlangen die allgemeinen Gebote der widerspruchsfreien und koordinierten Anwendung der Rechtsordnung den sachgerechten Einbezug von und die möglichst weitgehende Rücksichtnahme auf Normen anderer Rechtsgebiete zum gleichen Gegenstand. Die rechtsanwendenden Behörden haben demnach in diesem Sinne auf eine Harmonisierung des Immissionsschutzes hinzuwirken (vgl. dazu NICCOLÒ RASELLI, Berührungspunkte des privaten und öffentlichen Immissionsschutzes, URP 1997 S. 271 ff., insbesondere S. 284 ff.; SUSANNE AUER, Neuere Entwicklungen im privatrechtlichen Immissionsschutz, Diss. Zürich 1997, S. 17, 30 ff., 50 ff. und 94 ff., je mit weiteren Hinweisen; ferner AJP 1997 S. 1185 f.). Namentlich im Zusammenhang mit Lärmimmissionen, für welche die Anhänge zur Lärmschutz-Verordnung vom 15. Dezember 1986 (LSV; SR 814.41) Belastungsgrenzwerte festschreiben, sind bei der Beurteilung des privatrechtlich zu duldenden Masses die öffentlichrechtlichen Belastungsgrenzwerte heranzuziehen (Urteil des Bundesgerichts vom 5. März 1996 i.S. B. [5P.416/1995], E. 4a/cc, auszugsweise publiziert in URP 1997 S. 152; RASELLI, a.a.O., S. 290 f.). Für die hier interessierenden Immissionen (Gaststättenlärm und Lärm durch menschliches Verhalten in der Terrassenwirtschaft und bei der Ankunft sowie beim Verlassen der Lokalitäten) kennt das Lärmschutzrecht keine Belastungsgrenzwerte. Insbesondere sind auch die Anhänge 3 und 6 zur LSV (betreffend Strassenverkehrslärm bzw. Industrie- und Gewerbelärm) aus verschiedenen Gründen nicht aussagekräftig ( BGE 123 II 325 E. 4d/aa und bb S. 333 ff.; ROBERT HOFMANN, Keine Grenzwerte - kein Lärm?, in URP 1994 S. 427 f.). Zu Recht hat das Obergericht daher die Lärmschutzvorschriften des öffentlichen Rechts nicht direkt oder analog angewendet. Es hat das öffentlichrechtliche Lärmregime aber deswegen nicht unberücksichtigt gelassen, wie die Beklagte meint, sondern in seine Gesamtwürdigung miteinbezogen. Insoweit war namentlich auch Art. 43 Abs. 1 lit. c LSV Rechnung zu tragen, wonach in der hier BGE 126 III 223 S. 227 interessierenden Lärmempfindlichkeitsstufe III mässig störende Betriebe zugelassen sind. Nach dem Ausgeführten erscheint das Vorgehen des Obergerichts als sachgerecht und jedenfalls nicht bundesrechtswidrig.</w:t>
      </w:r>
    </w:p>
    <w:p>
      <w:r>
        <w:rPr>
          <w:b/>
        </w:rPr>
        <w:t>E. 4</w:t>
      </w:r>
    </w:p>
    <w:p>
      <w:r>
        <w:t>a) Gemäss Art. 684 ZGB hat sich jedermann bei der Ausübung seines Grundeigentums, namentlich beim Betrieb eines Gewerbes auf seinem Grundstück, aller übermässigen Einwirkungen auf das Eigentum des Nachbarn zu enthalten (Abs. 1); verboten sind insbesondere alle schädlichen und nach Lage und Beschaffenheit der Grundstücke oder nach Ortsgebrauch nicht gerechtfertigten Einwirkungen durch Rauch oder Russ, lästige Dünste, Lärm oder Erschütterung (Abs. 2). Bei der Abgrenzung zwischen zulässiger und unzulässiger, d.h. übermässiger Immission ist die Intensität der Einwirkungen massgebend. Diese beurteilt sich nach objektiven Kriterien. Der Richter hat eine sachlich begründete Abwägung der Interessen vorzunehmen, wobei er den Massstab des Empfindens eines Durchschnittsmenschen in der gleichen Situation zugrunde zu legen hat. Bei dem nach Recht und Billigkeit zu treffenden Entscheid sind nicht bloss Lage und Beschaffenheit der Grundstücke sowie der Ortsgebrauch zu berücksichtigen, wie es Art. 684 Abs. 2 ZGB ausdrücklich erwähnt; es ist die individuell konkrete Interessenlage umfassend zu würdigen: Alle in der einzelnen Streitsache ins Gewicht fallenden Umstände sind auf ihre Erheblichkeit hin zu prüfen (vgl. auch E. 3c hiervor), wobei stets zu beachten bleibt, dass Art. 684 ZGB als nachbarrechtliche Norm in erster Linie der Herstellung eines nachbarlichen Interessenausgleichs dienen soll. Verboten sind nicht nur schadenverursachende, sondern auch bloss lästige (übermässige) Einwirkungen (vgl. BGE 119 II 411 E. 4c S. 416 mit Hinweisen; MEIER-HAYOZ, a.a.O., N. 86 ff., 90 f., 96 und 107 zu Art. 684 ZGB ; REY, Basler Kommentar, N. 8 ff. und 20 ff. zu Art. 684 ZGB ). Sowohl bei der Beurteilung der Frage, ob die von ihm festgestellten Einwirkungen angesichts der gegebenen örtlichen Verhältnisse als im Sinne von Art. 684 ZGB übermässig und damit unzulässig sind, als auch bei der Anordnung der von ihm als geboten erachteten Vorkehren steht dem Sachrichter ein Ermessen zu ( BGE 101 II 248 E. 3 S. 250 mit Hinweisen). Ermessensentscheide dieser Art überprüft das Bundesgericht an sich frei; es übt dabei allerdings Zurückhaltung und greift nur ein, wenn die kantonale Instanz von dem ihr zustehenden Ermessen einen falschen Gebrauch gemacht hat, d.h. wenn sie grundlos von in Lehre und Rechtsprechung anerkannten BGE 126 III 223 S. 228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(vgl. BGE 123 III 274 E. 1a/cc S. 279 f. mit Hinweisen). b) Die Beklagte bringt nichts vor, was die Bejahung unzulässiger Immissionen angesichts der vom Obergericht festgehaltenen Tatsachen als bundesrechtswidrig erscheinen lässt: Der Argumentation, dass Lärmbelästigungen durch rücksichtslose Gäste beim Eintreffen und beim Verlassen der Lokalitäten nach Mitternacht verbunden mit der Benützung des Parkplatzes auf der Südwestseite des Hotels/Restaurants wegen der hohen Lärmspitzen auch für normal empfindliche Menschen ausserordentlich störend sein können, selbst wenn sie nur kurze Zeit dauern, weil sie die Weckschwelle überschreiten, vermag die Beklagte nichts Überzeugendes entgegenzusetzen. Sie ist in diesem Zusammenhang darauf hinzuweisen, dass sogar nur vereinzelte übermässige Einwirkungen als unzulässig unter Art. 684 ZGB fallen können (vgl. MEIER-HAYOZ, a.a.O., N. 203 zu Art. 684 ZGB ). Hier treten die von der Vorinstanz als unzulässig bezeichneten Lärmimmissionen bei Betriebsschliessungen nach Mitternacht regelmässig auf. Dazu kommen der nächtliche Gaststättenlärm, wenn die Fenster nicht geschlossen gehalten werden, und die zum Gaststättenlärm hinzutretende Musik, welche die Beklagte im Freien abspielt, wenn sie die Terrassenwirtschaft in Betrieb hat. Soweit die Beklagte nicht die Beweiswürdigung durch die Vorinstanz rügt, was im Rahmen der Berufung unzulässig ist, verweist sie in diesem Zusammenhang auf die Bau- und Zonenordnung bzw. auf die im betreffenden Gebiet geltende Lärmempfindlichkeitsstufe III. Zudem wirft sie dem Obergericht vor, es habe keine Interessenabwägung vorgenommen. Selbst wenn man unter Berücksichtigung von Ortsgebrauch, der Lage und Beschaffenheit der Grundstücke sowie unter Einbezug des bau- und umweltrechtlich Zulässigen davon ausgeht, dass die Klägerin einen mässig störenden Gastwirtschaftsbetrieb auf der Nachbarparzelle dulden muss (vgl. Art. 43 Abs. 1 lit. c LSV und E. 3c hiervor), kann der Vorinstanz kein falscher Gebrauch des Ermessens vorgeworfen werden, wenn diese befunden hat, die festgestellten Ruhestörungen sprengten den Rahmen des unter dem Titel einer mässigen Störung Hinzunehmenden. Die Empfindlichkeitsstufe BGE 126 III 223 S. 229 III ist für Mischzonen, namentlich Wohn- und Gewerbezonen vorgesehen ( Art. 43 Abs. 1 lit. c LSV ). Dies bedeutet, dass die Lärmgrenzen auch mit Rücksicht auf die Wohnnutzung so festzulegen sind, dass die Wohnbevölkerung in ihrem Wohlbefinden nicht erheblich gestört wird ( Art. 15 USG ). Bei regelmässigen Lärmimmissionen über der Weckschwelle nach Mitternacht kann indessen nicht geschlossen werden, die Wohnbevölkerung sei in ihrem Wohlbefinden, das namentlich eine im Wesentlichen ungestörte Nachtruhe voraussetzt, nicht bedeutend beeinträchtigt. Fehl geht im Weiteren auch der Vorwurf der mangelnden Interessenabwägung. Das Obergericht hat die erforderliche Abwägung der sich entgegenstehenden Interessen sowohl bei der Beurteilung der Übermässigkeit der Immissionen als auch bei der Diskussion der anzuordnenden Massnahmen teils ausdrücklich, teils sinngemäss vorgenommen. Es hat namentlich festgehalten, die Vergnügungsmöglichkeiten einer breiteren Öffentlichkeit und das Recht der Beklagten auf möglichst freie wirtschaftliche Entfaltung rechtfertigten den Schutz der Nachtruhe der Klägerin unter der Woche erst nach Mitternacht und an Freitagen und Samstagen sogar erst ab 02.00 Uhr. Im Zusammenhang mit der Verhältnismässigkeit der umstrittenen richterlichen Anordnungen wird darauf zurückzukommen sein. An dieser Stelle genügt die Feststellung, dass das Obergericht unter Würdigung der gesamten Umstände ohne Verletzung von Bundesrecht zum Ergebnis gelangen durfte, die aus dem Betrieb der Beklagten resultierenden Lärmimmissionen auf dem Grundstück der Klägerin verstiessen vorab spät nachts gegen das Übermassverbot.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